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jc w:val="center"/>
        <w:rPr>
          <w:rFonts w:ascii="方正小标宋简体" w:eastAsia="方正小标宋简体"/>
          <w:b/>
          <w:sz w:val="48"/>
          <w:szCs w:val="48"/>
        </w:rPr>
      </w:pPr>
    </w:p>
    <w:p>
      <w:pPr>
        <w:jc w:val="center"/>
        <w:rPr>
          <w:rFonts w:ascii="方正小标宋简体" w:eastAsia="方正小标宋简体"/>
          <w:b/>
          <w:sz w:val="48"/>
          <w:szCs w:val="48"/>
        </w:rPr>
      </w:pPr>
      <w:r>
        <w:rPr>
          <w:rFonts w:hint="eastAsia" w:ascii="方正小标宋简体" w:eastAsia="方正小标宋简体"/>
          <w:b/>
          <w:sz w:val="48"/>
          <w:szCs w:val="48"/>
        </w:rPr>
        <w:t>2022级数控技术应用专业</w:t>
      </w:r>
    </w:p>
    <w:p>
      <w:pPr>
        <w:jc w:val="center"/>
        <w:rPr>
          <w:rFonts w:ascii="方正小标宋简体" w:eastAsia="方正小标宋简体"/>
          <w:b/>
          <w:sz w:val="48"/>
          <w:szCs w:val="48"/>
        </w:rPr>
      </w:pPr>
      <w:r>
        <w:rPr>
          <w:rFonts w:hint="eastAsia" w:ascii="方正小标宋简体" w:eastAsia="方正小标宋简体"/>
          <w:b/>
          <w:sz w:val="48"/>
          <w:szCs w:val="48"/>
        </w:rPr>
        <w:t>人才培养方案</w:t>
      </w: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both"/>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jc w:val="center"/>
        <w:rPr>
          <w:rFonts w:ascii="方正小标宋简体" w:eastAsia="方正小标宋简体"/>
          <w:sz w:val="44"/>
          <w:szCs w:val="44"/>
        </w:rPr>
      </w:pPr>
    </w:p>
    <w:p>
      <w:pPr>
        <w:spacing w:line="520" w:lineRule="exact"/>
        <w:ind w:firstLine="1405" w:firstLineChars="500"/>
        <w:rPr>
          <w:rFonts w:ascii="方正小标宋简体" w:eastAsia="方正小标宋简体"/>
          <w:b/>
          <w:sz w:val="28"/>
          <w:szCs w:val="28"/>
          <w:u w:val="single"/>
        </w:rPr>
      </w:pPr>
      <w:r>
        <w:rPr>
          <w:rFonts w:hint="eastAsia" w:ascii="方正小标宋简体" w:eastAsia="方正小标宋简体"/>
          <w:b/>
          <w:sz w:val="28"/>
          <w:szCs w:val="28"/>
        </w:rPr>
        <w:t xml:space="preserve">专业名称 ： </w:t>
      </w:r>
      <w:r>
        <w:rPr>
          <w:rFonts w:hint="eastAsia" w:ascii="方正小标宋简体" w:eastAsia="方正小标宋简体"/>
          <w:b/>
          <w:sz w:val="28"/>
          <w:szCs w:val="28"/>
          <w:u w:val="single"/>
        </w:rPr>
        <w:t xml:space="preserve">数控技术应用          </w:t>
      </w:r>
    </w:p>
    <w:p>
      <w:pPr>
        <w:spacing w:line="520" w:lineRule="exact"/>
        <w:ind w:firstLine="1405" w:firstLineChars="500"/>
        <w:rPr>
          <w:rFonts w:ascii="方正小标宋简体" w:eastAsia="方正小标宋简体"/>
          <w:b/>
          <w:sz w:val="28"/>
          <w:szCs w:val="28"/>
        </w:rPr>
      </w:pPr>
      <w:r>
        <w:rPr>
          <w:rFonts w:hint="eastAsia" w:ascii="方正小标宋简体" w:eastAsia="方正小标宋简体"/>
          <w:b/>
          <w:sz w:val="28"/>
          <w:szCs w:val="28"/>
        </w:rPr>
        <w:t xml:space="preserve">专业代码 ： </w:t>
      </w:r>
      <w:r>
        <w:rPr>
          <w:rFonts w:hint="eastAsia" w:ascii="方正小标宋简体" w:eastAsia="方正小标宋简体"/>
          <w:b/>
          <w:sz w:val="28"/>
          <w:szCs w:val="28"/>
          <w:u w:val="single"/>
        </w:rPr>
        <w:t xml:space="preserve">660103               </w:t>
      </w:r>
    </w:p>
    <w:p>
      <w:pPr>
        <w:spacing w:line="520" w:lineRule="exact"/>
        <w:ind w:firstLine="1405" w:firstLineChars="500"/>
        <w:rPr>
          <w:rFonts w:ascii="方正小标宋简体" w:eastAsia="方正小标宋简体"/>
          <w:b/>
          <w:sz w:val="28"/>
          <w:szCs w:val="28"/>
          <w:u w:val="single"/>
        </w:rPr>
      </w:pPr>
      <w:r>
        <w:rPr>
          <w:rFonts w:hint="eastAsia" w:ascii="方正小标宋简体" w:eastAsia="方正小标宋简体"/>
          <w:b/>
          <w:sz w:val="28"/>
          <w:szCs w:val="28"/>
        </w:rPr>
        <w:t xml:space="preserve">入学要求 ： </w:t>
      </w:r>
      <w:r>
        <w:rPr>
          <w:rFonts w:hint="eastAsia" w:ascii="方正小标宋简体" w:eastAsia="方正小标宋简体"/>
          <w:b/>
          <w:sz w:val="28"/>
          <w:szCs w:val="28"/>
          <w:u w:val="single"/>
        </w:rPr>
        <w:t>初中毕业生或同等学力者</w:t>
      </w:r>
    </w:p>
    <w:p>
      <w:pPr>
        <w:spacing w:line="520" w:lineRule="exact"/>
        <w:ind w:firstLine="1405" w:firstLineChars="500"/>
        <w:rPr>
          <w:rFonts w:ascii="方正小标宋简体" w:eastAsia="方正小标宋简体"/>
          <w:b/>
          <w:sz w:val="28"/>
          <w:szCs w:val="28"/>
          <w:u w:val="single"/>
        </w:rPr>
      </w:pPr>
      <w:r>
        <w:rPr>
          <w:rFonts w:hint="eastAsia" w:ascii="方正小标宋简体" w:eastAsia="方正小标宋简体"/>
          <w:b/>
          <w:sz w:val="28"/>
          <w:szCs w:val="28"/>
        </w:rPr>
        <w:t xml:space="preserve">修业年限 ： </w:t>
      </w:r>
      <w:r>
        <w:rPr>
          <w:rFonts w:hint="eastAsia" w:ascii="方正小标宋简体" w:eastAsia="方正小标宋简体"/>
          <w:b/>
          <w:sz w:val="28"/>
          <w:szCs w:val="28"/>
          <w:u w:val="single"/>
        </w:rPr>
        <w:t xml:space="preserve">3年                   </w:t>
      </w:r>
    </w:p>
    <w:p>
      <w:pPr>
        <w:spacing w:line="520" w:lineRule="exact"/>
        <w:ind w:firstLine="1405" w:firstLineChars="500"/>
        <w:rPr>
          <w:rFonts w:ascii="方正小标宋简体" w:eastAsia="方正小标宋简体"/>
          <w:b/>
          <w:sz w:val="28"/>
          <w:szCs w:val="28"/>
          <w:u w:val="single"/>
        </w:rPr>
      </w:pPr>
      <w:r>
        <w:rPr>
          <w:rFonts w:hint="eastAsia" w:ascii="方正小标宋简体" w:eastAsia="方正小标宋简体"/>
          <w:b/>
          <w:sz w:val="28"/>
          <w:szCs w:val="28"/>
        </w:rPr>
        <w:t>学校（盖章）</w:t>
      </w:r>
      <w:r>
        <w:rPr>
          <w:rFonts w:hint="eastAsia" w:ascii="方正小标宋简体" w:eastAsia="方正小标宋简体"/>
          <w:b/>
          <w:sz w:val="28"/>
          <w:szCs w:val="28"/>
          <w:u w:val="single"/>
        </w:rPr>
        <w:t xml:space="preserve">伊川县中等职业学校    </w:t>
      </w:r>
    </w:p>
    <w:p>
      <w:pPr>
        <w:spacing w:line="360" w:lineRule="auto"/>
        <w:jc w:val="center"/>
        <w:rPr>
          <w:rFonts w:ascii="方正小标宋简体" w:eastAsia="方正小标宋简体"/>
          <w:sz w:val="44"/>
          <w:szCs w:val="44"/>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bookmarkStart w:id="19" w:name="_GoBack"/>
      <w:bookmarkEnd w:id="19"/>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line="440" w:lineRule="exact"/>
        <w:jc w:val="center"/>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目录</w:t>
      </w:r>
    </w:p>
    <w:p>
      <w:pPr>
        <w:spacing w:line="440" w:lineRule="exact"/>
        <w:jc w:val="center"/>
        <w:rPr>
          <w:rFonts w:ascii="方正小标宋简体" w:hAnsi="方正小标宋简体" w:eastAsia="方正小标宋简体" w:cs="方正小标宋简体"/>
          <w:sz w:val="44"/>
        </w:rPr>
      </w:pP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一、专业名称</w:t>
      </w:r>
      <w:r>
        <w:rPr>
          <w:rFonts w:hint="eastAsia" w:ascii="仿宋_GB2312" w:hAnsi="仿宋_GB2312" w:eastAsia="仿宋_GB2312" w:cs="仿宋_GB2312"/>
          <w:sz w:val="30"/>
          <w:szCs w:val="30"/>
          <w:lang w:eastAsia="zh-CN"/>
        </w:rPr>
        <w:t>和专业</w:t>
      </w:r>
      <w:r>
        <w:rPr>
          <w:rFonts w:hint="eastAsia" w:ascii="仿宋_GB2312" w:hAnsi="仿宋_GB2312" w:eastAsia="仿宋_GB2312" w:cs="仿宋_GB2312"/>
          <w:sz w:val="30"/>
          <w:szCs w:val="30"/>
        </w:rPr>
        <w:t>代码</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sz w:val="20"/>
          <w:szCs w:val="2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入学要求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修业年限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职业面向</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五、培养目标与培养规格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（一）培养目标</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（二）培养规格</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、课程设置及要求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公共基础课程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（二）专业（技能）课程</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七、教学进程总体安排</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（一）教学时间分配表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（二）教学进程安排表</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八、实施保障</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（一）师资队伍</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（二）教学设施</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（三）教学资源</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（四）教学方法</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9</w:t>
      </w:r>
      <w:r>
        <w:rPr>
          <w:rFonts w:hint="eastAsia" w:ascii="仿宋_GB2312" w:hAnsi="仿宋_GB2312" w:eastAsia="仿宋_GB2312" w:cs="仿宋_GB2312"/>
          <w:sz w:val="30"/>
          <w:szCs w:val="30"/>
          <w:lang w:val="en-US" w:eastAsia="zh-CN"/>
        </w:rPr>
        <w:fldChar w:fldCharType="end"/>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（五）学习评价</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0</w:t>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（六）质量管理</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0</w:t>
      </w:r>
    </w:p>
    <w:p>
      <w:pPr>
        <w:pStyle w:val="12"/>
        <w:tabs>
          <w:tab w:val="left" w:pos="1154"/>
          <w:tab w:val="right" w:leader="dot" w:pos="8263"/>
        </w:tabs>
        <w:autoSpaceDE/>
        <w:autoSpaceDN/>
        <w:spacing w:line="320" w:lineRule="exact"/>
        <w:ind w:firstLine="0"/>
        <w:jc w:val="both"/>
        <w:rPr>
          <w:rFonts w:ascii="仿宋_GB2312" w:hAnsi="仿宋_GB2312" w:eastAsia="仿宋_GB2312" w:cs="仿宋_GB2312"/>
          <w:sz w:val="30"/>
          <w:szCs w:val="30"/>
          <w:lang w:val="en-US" w:eastAsia="zh-CN"/>
        </w:rPr>
      </w:pPr>
      <w:r>
        <w:fldChar w:fldCharType="begin"/>
      </w:r>
      <w:r>
        <w:instrText xml:space="preserve"> HYPERLINK \l "bookmark22" \o "Current Document" \h </w:instrText>
      </w:r>
      <w:r>
        <w:fldChar w:fldCharType="separate"/>
      </w:r>
      <w:r>
        <w:rPr>
          <w:rFonts w:hint="eastAsia" w:ascii="仿宋_GB2312" w:hAnsi="仿宋_GB2312" w:eastAsia="仿宋_GB2312" w:cs="仿宋_GB2312"/>
          <w:sz w:val="30"/>
          <w:szCs w:val="30"/>
        </w:rPr>
        <w:t>九、毕业要求</w:t>
      </w:r>
      <w:r>
        <w:rPr>
          <w:rFonts w:hint="eastAsia" w:ascii="仿宋_GB2312" w:hAnsi="仿宋_GB2312" w:eastAsia="仿宋_GB2312" w:cs="仿宋_GB2312"/>
          <w:sz w:val="30"/>
          <w:szCs w:val="30"/>
          <w:lang w:val="en-US" w:eastAsia="zh-CN" w:bidi="en-US"/>
        </w:rPr>
        <w:tab/>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lang w:val="en-US" w:eastAsia="zh-CN"/>
        </w:rPr>
        <w:fldChar w:fldCharType="end"/>
      </w:r>
      <w:r>
        <w:rPr>
          <w:rFonts w:hint="eastAsia" w:ascii="仿宋_GB2312" w:hAnsi="仿宋_GB2312" w:eastAsia="仿宋_GB2312" w:cs="仿宋_GB2312"/>
          <w:sz w:val="30"/>
          <w:szCs w:val="30"/>
          <w:lang w:val="en-US" w:eastAsia="zh-CN"/>
        </w:rPr>
        <w:t>1</w:t>
      </w:r>
    </w:p>
    <w:p>
      <w:pPr>
        <w:pStyle w:val="12"/>
        <w:tabs>
          <w:tab w:val="left" w:pos="1154"/>
          <w:tab w:val="right" w:leader="dot" w:pos="8263"/>
        </w:tabs>
        <w:autoSpaceDE/>
        <w:autoSpaceDN/>
        <w:spacing w:line="360" w:lineRule="exact"/>
        <w:ind w:firstLine="0"/>
        <w:jc w:val="both"/>
        <w:rPr>
          <w:rFonts w:ascii="仿宋_GB2312" w:hAnsi="仿宋_GB2312" w:eastAsia="仿宋_GB2312" w:cs="仿宋_GB2312"/>
          <w:sz w:val="30"/>
          <w:szCs w:val="30"/>
        </w:rPr>
        <w:sectPr>
          <w:footerReference r:id="rId3" w:type="default"/>
          <w:pgSz w:w="11910" w:h="16840"/>
          <w:pgMar w:top="1440" w:right="1803" w:bottom="1440" w:left="1803" w:header="0" w:footer="913" w:gutter="0"/>
          <w:pgNumType w:start="1"/>
          <w:cols w:space="720" w:num="1"/>
        </w:sectPr>
      </w:pPr>
    </w:p>
    <w:p>
      <w:pPr>
        <w:spacing w:line="360" w:lineRule="auto"/>
        <w:jc w:val="center"/>
        <w:rPr>
          <w:rFonts w:ascii="方正小标宋简体" w:eastAsia="方正小标宋简体"/>
          <w:b/>
          <w:sz w:val="48"/>
          <w:szCs w:val="48"/>
        </w:rPr>
      </w:pPr>
      <w:r>
        <w:rPr>
          <w:rFonts w:hint="eastAsia" w:ascii="方正小标宋简体" w:eastAsia="方正小标宋简体"/>
          <w:b/>
          <w:sz w:val="48"/>
          <w:szCs w:val="48"/>
        </w:rPr>
        <w:t>数控技术应用专业人才培养方案</w:t>
      </w:r>
    </w:p>
    <w:p>
      <w:pPr>
        <w:pStyle w:val="2"/>
        <w:ind w:left="0"/>
        <w:jc w:val="both"/>
        <w:rPr>
          <w:rFonts w:ascii="黑体" w:hAnsi="黑体" w:eastAsia="黑体" w:cs="黑体"/>
          <w:spacing w:val="-1"/>
          <w:sz w:val="30"/>
          <w:szCs w:val="30"/>
        </w:rPr>
      </w:pPr>
      <w:r>
        <w:rPr>
          <w:rFonts w:hint="eastAsia" w:ascii="黑体" w:hAnsi="黑体" w:eastAsia="黑体" w:cs="黑体"/>
          <w:spacing w:val="-1"/>
          <w:sz w:val="30"/>
          <w:szCs w:val="30"/>
        </w:rPr>
        <w:t>一、专业名称和专业代码</w:t>
      </w:r>
    </w:p>
    <w:p>
      <w:pPr>
        <w:pStyle w:val="2"/>
        <w:spacing w:line="520" w:lineRule="exact"/>
        <w:ind w:left="0" w:firstLine="596" w:firstLineChars="200"/>
        <w:jc w:val="both"/>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专业名称：数控技术应用</w:t>
      </w:r>
    </w:p>
    <w:p>
      <w:pPr>
        <w:pStyle w:val="2"/>
        <w:spacing w:line="520" w:lineRule="exact"/>
        <w:ind w:left="0" w:firstLine="600" w:firstLineChars="20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专业代码：660103</w:t>
      </w:r>
    </w:p>
    <w:p>
      <w:pPr>
        <w:pStyle w:val="2"/>
        <w:spacing w:line="520" w:lineRule="exact"/>
        <w:ind w:left="0"/>
        <w:rPr>
          <w:rFonts w:ascii="仿宋_GB2312" w:hAnsi="仿宋_GB2312" w:eastAsia="仿宋_GB2312" w:cs="仿宋_GB2312"/>
          <w:sz w:val="30"/>
          <w:szCs w:val="30"/>
        </w:rPr>
      </w:pPr>
      <w:bookmarkStart w:id="0" w:name="二、入学要求"/>
      <w:bookmarkEnd w:id="0"/>
      <w:r>
        <w:rPr>
          <w:rFonts w:hint="eastAsia" w:ascii="黑体" w:hAnsi="黑体" w:eastAsia="黑体" w:cs="黑体"/>
          <w:w w:val="95"/>
          <w:sz w:val="30"/>
          <w:szCs w:val="30"/>
        </w:rPr>
        <w:t>二、入学要求</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初中毕业生或同等学力者</w:t>
      </w:r>
    </w:p>
    <w:p>
      <w:pPr>
        <w:pStyle w:val="2"/>
        <w:spacing w:line="520" w:lineRule="exact"/>
        <w:ind w:left="0"/>
        <w:rPr>
          <w:rFonts w:ascii="黑体" w:hAnsi="黑体" w:eastAsia="黑体" w:cs="黑体"/>
          <w:w w:val="95"/>
          <w:sz w:val="30"/>
          <w:szCs w:val="30"/>
        </w:rPr>
      </w:pPr>
      <w:bookmarkStart w:id="1" w:name="三、修业年限"/>
      <w:bookmarkEnd w:id="1"/>
      <w:r>
        <w:rPr>
          <w:rFonts w:hint="eastAsia" w:ascii="黑体" w:hAnsi="黑体" w:eastAsia="黑体" w:cs="黑体"/>
          <w:w w:val="95"/>
          <w:sz w:val="30"/>
          <w:szCs w:val="30"/>
        </w:rPr>
        <w:t>三、修业年限</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 年</w:t>
      </w:r>
    </w:p>
    <w:p>
      <w:pPr>
        <w:pStyle w:val="2"/>
        <w:spacing w:line="520" w:lineRule="exact"/>
        <w:ind w:left="0"/>
        <w:rPr>
          <w:rFonts w:ascii="黑体" w:hAnsi="黑体" w:eastAsia="黑体" w:cs="黑体"/>
          <w:sz w:val="30"/>
          <w:szCs w:val="30"/>
        </w:rPr>
      </w:pPr>
      <w:r>
        <w:rPr>
          <w:rFonts w:hint="eastAsia" w:ascii="黑体" w:hAnsi="黑体" w:eastAsia="黑体" w:cs="黑体"/>
          <w:sz w:val="30"/>
          <w:szCs w:val="30"/>
        </w:rPr>
        <w:t>四、职业面向</w:t>
      </w:r>
    </w:p>
    <w:tbl>
      <w:tblPr>
        <w:tblStyle w:val="8"/>
        <w:tblpPr w:leftFromText="180" w:rightFromText="180" w:vertAnchor="text" w:horzAnchor="page" w:tblpX="1445" w:tblpY="508"/>
        <w:tblOverlap w:val="never"/>
        <w:tblW w:w="98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0"/>
        <w:gridCol w:w="1875"/>
        <w:gridCol w:w="1799"/>
        <w:gridCol w:w="2160"/>
        <w:gridCol w:w="25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1" w:hRule="atLeast"/>
        </w:trPr>
        <w:tc>
          <w:tcPr>
            <w:tcW w:w="1460" w:type="dxa"/>
            <w:shd w:val="clear" w:color="auto" w:fill="auto"/>
          </w:tcPr>
          <w:p>
            <w:pPr>
              <w:pStyle w:val="10"/>
              <w:spacing w:before="1" w:line="520" w:lineRule="exact"/>
              <w:ind w:left="193"/>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专业名称（代码）</w:t>
            </w:r>
          </w:p>
        </w:tc>
        <w:tc>
          <w:tcPr>
            <w:tcW w:w="1875" w:type="dxa"/>
            <w:shd w:val="clear" w:color="auto" w:fill="auto"/>
          </w:tcPr>
          <w:p>
            <w:pPr>
              <w:pStyle w:val="10"/>
              <w:spacing w:line="520" w:lineRule="exact"/>
              <w:ind w:right="-28" w:firstLine="580" w:firstLineChars="200"/>
              <w:jc w:val="both"/>
              <w:rPr>
                <w:rFonts w:ascii="仿宋_GB2312" w:hAnsi="仿宋_GB2312" w:eastAsia="仿宋_GB2312" w:cs="仿宋_GB2312"/>
                <w:spacing w:val="-5"/>
                <w:sz w:val="30"/>
                <w:szCs w:val="30"/>
              </w:rPr>
            </w:pPr>
            <w:r>
              <w:rPr>
                <w:rFonts w:hint="eastAsia" w:ascii="仿宋_GB2312" w:hAnsi="仿宋_GB2312" w:eastAsia="仿宋_GB2312" w:cs="仿宋_GB2312"/>
                <w:spacing w:val="-5"/>
                <w:sz w:val="30"/>
                <w:szCs w:val="30"/>
              </w:rPr>
              <w:t>专业</w:t>
            </w:r>
          </w:p>
          <w:p>
            <w:pPr>
              <w:pStyle w:val="10"/>
              <w:spacing w:line="520" w:lineRule="exact"/>
              <w:ind w:left="108" w:right="-28"/>
              <w:jc w:val="both"/>
              <w:rPr>
                <w:rFonts w:ascii="仿宋_GB2312" w:hAnsi="仿宋_GB2312" w:eastAsia="仿宋_GB2312" w:cs="仿宋_GB2312"/>
                <w:sz w:val="30"/>
                <w:szCs w:val="30"/>
              </w:rPr>
            </w:pPr>
            <w:r>
              <w:rPr>
                <w:rFonts w:hint="eastAsia" w:ascii="仿宋_GB2312" w:hAnsi="仿宋_GB2312" w:eastAsia="仿宋_GB2312" w:cs="仿宋_GB2312"/>
                <w:spacing w:val="-4"/>
                <w:sz w:val="30"/>
                <w:szCs w:val="30"/>
              </w:rPr>
              <w:t>（技能方向）</w:t>
            </w:r>
          </w:p>
        </w:tc>
        <w:tc>
          <w:tcPr>
            <w:tcW w:w="1799" w:type="dxa"/>
            <w:shd w:val="clear" w:color="auto" w:fill="auto"/>
          </w:tcPr>
          <w:p>
            <w:pPr>
              <w:pStyle w:val="10"/>
              <w:spacing w:line="520" w:lineRule="exact"/>
              <w:ind w:right="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对应职业</w:t>
            </w:r>
          </w:p>
          <w:p>
            <w:pPr>
              <w:pStyle w:val="10"/>
              <w:spacing w:line="520" w:lineRule="exact"/>
              <w:ind w:left="87" w:right="9"/>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（岗位）</w:t>
            </w:r>
          </w:p>
        </w:tc>
        <w:tc>
          <w:tcPr>
            <w:tcW w:w="4701" w:type="dxa"/>
            <w:gridSpan w:val="2"/>
            <w:shd w:val="clear" w:color="auto" w:fill="auto"/>
          </w:tcPr>
          <w:p>
            <w:pPr>
              <w:pStyle w:val="10"/>
              <w:spacing w:line="10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继续学习专业（举例）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9" w:hRule="atLeast"/>
        </w:trPr>
        <w:tc>
          <w:tcPr>
            <w:tcW w:w="1460" w:type="dxa"/>
          </w:tcPr>
          <w:p>
            <w:pPr>
              <w:pStyle w:val="10"/>
              <w:rPr>
                <w:rFonts w:ascii="仿宋_GB2312" w:hAnsi="仿宋_GB2312" w:eastAsia="仿宋_GB2312" w:cs="仿宋_GB2312"/>
                <w:sz w:val="30"/>
                <w:szCs w:val="30"/>
              </w:rPr>
            </w:pPr>
          </w:p>
          <w:p>
            <w:pPr>
              <w:pStyle w:val="10"/>
              <w:rPr>
                <w:rFonts w:ascii="仿宋_GB2312" w:hAnsi="仿宋_GB2312" w:eastAsia="仿宋_GB2312" w:cs="仿宋_GB2312"/>
                <w:sz w:val="30"/>
                <w:szCs w:val="30"/>
              </w:rPr>
            </w:pPr>
          </w:p>
          <w:p>
            <w:pPr>
              <w:pStyle w:val="2"/>
              <w:spacing w:line="520" w:lineRule="exact"/>
              <w:ind w:left="0"/>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数控技术应用</w:t>
            </w:r>
          </w:p>
          <w:p>
            <w:pPr>
              <w:pStyle w:val="2"/>
              <w:spacing w:line="520" w:lineRule="exact"/>
              <w:ind w:left="0"/>
              <w:jc w:val="both"/>
              <w:rPr>
                <w:rFonts w:ascii="仿宋_GB2312" w:hAnsi="仿宋_GB2312" w:eastAsia="仿宋_GB2312" w:cs="仿宋_GB2312"/>
                <w:sz w:val="30"/>
                <w:szCs w:val="30"/>
              </w:rPr>
            </w:pPr>
            <w:r>
              <w:rPr>
                <w:rFonts w:hint="eastAsia" w:ascii="仿宋_GB2312" w:hAnsi="仿宋_GB2312" w:eastAsia="仿宋_GB2312" w:cs="仿宋_GB2312"/>
                <w:sz w:val="30"/>
                <w:szCs w:val="30"/>
              </w:rPr>
              <w:t>（660103）</w:t>
            </w:r>
          </w:p>
        </w:tc>
        <w:tc>
          <w:tcPr>
            <w:tcW w:w="1875" w:type="dxa"/>
          </w:tcPr>
          <w:p>
            <w:pPr>
              <w:pStyle w:val="10"/>
              <w:rPr>
                <w:rFonts w:ascii="仿宋_GB2312" w:hAnsi="仿宋_GB2312" w:eastAsia="仿宋_GB2312" w:cs="仿宋_GB2312"/>
                <w:sz w:val="30"/>
                <w:szCs w:val="30"/>
              </w:rPr>
            </w:pPr>
          </w:p>
          <w:p>
            <w:pPr>
              <w:pStyle w:val="10"/>
              <w:spacing w:line="300" w:lineRule="exact"/>
              <w:ind w:left="108" w:right="96"/>
              <w:jc w:val="center"/>
              <w:rPr>
                <w:rFonts w:ascii="仿宋_GB2312" w:hAnsi="仿宋_GB2312" w:eastAsia="仿宋_GB2312" w:cs="仿宋_GB2312"/>
                <w:sz w:val="30"/>
                <w:szCs w:val="30"/>
              </w:rPr>
            </w:pPr>
          </w:p>
          <w:p>
            <w:pPr>
              <w:rPr>
                <w:sz w:val="30"/>
                <w:szCs w:val="30"/>
              </w:rPr>
            </w:pPr>
          </w:p>
          <w:p>
            <w:pPr>
              <w:rPr>
                <w:sz w:val="30"/>
                <w:szCs w:val="30"/>
              </w:rPr>
            </w:pPr>
          </w:p>
          <w:p>
            <w:pPr>
              <w:jc w:val="center"/>
              <w:rPr>
                <w:sz w:val="30"/>
                <w:szCs w:val="30"/>
              </w:rPr>
            </w:pPr>
            <w:r>
              <w:rPr>
                <w:rFonts w:hint="eastAsia" w:ascii="仿宋_GB2312" w:hAnsi="仿宋_GB2312" w:eastAsia="仿宋_GB2312" w:cs="仿宋_GB2312"/>
                <w:sz w:val="30"/>
                <w:szCs w:val="30"/>
              </w:rPr>
              <w:t>数控技术</w:t>
            </w:r>
          </w:p>
        </w:tc>
        <w:tc>
          <w:tcPr>
            <w:tcW w:w="1799" w:type="dxa"/>
          </w:tcPr>
          <w:p>
            <w:pPr>
              <w:pStyle w:val="10"/>
              <w:rPr>
                <w:rFonts w:ascii="仿宋_GB2312" w:hAnsi="仿宋_GB2312" w:eastAsia="仿宋_GB2312" w:cs="仿宋_GB2312"/>
                <w:sz w:val="30"/>
                <w:szCs w:val="30"/>
              </w:rPr>
            </w:pPr>
          </w:p>
          <w:p>
            <w:pPr>
              <w:pStyle w:val="10"/>
              <w:spacing w:line="320" w:lineRule="exact"/>
              <w:ind w:left="17" w:right="11"/>
              <w:jc w:val="center"/>
              <w:rPr>
                <w:rFonts w:ascii="仿宋_GB2312" w:hAnsi="仿宋_GB2312" w:eastAsia="仿宋_GB2312" w:cs="仿宋_GB2312"/>
                <w:sz w:val="30"/>
                <w:szCs w:val="30"/>
              </w:rPr>
            </w:pPr>
          </w:p>
          <w:p>
            <w:pPr>
              <w:pStyle w:val="10"/>
              <w:spacing w:line="320" w:lineRule="exact"/>
              <w:ind w:left="17" w:right="11"/>
              <w:jc w:val="center"/>
              <w:rPr>
                <w:rFonts w:ascii="仿宋_GB2312" w:hAnsi="仿宋_GB2312" w:eastAsia="仿宋_GB2312" w:cs="仿宋_GB2312"/>
                <w:sz w:val="30"/>
                <w:szCs w:val="30"/>
              </w:rPr>
            </w:pPr>
          </w:p>
          <w:p>
            <w:pPr>
              <w:pStyle w:val="10"/>
              <w:spacing w:line="320" w:lineRule="exact"/>
              <w:ind w:left="17" w:right="11"/>
              <w:jc w:val="center"/>
              <w:rPr>
                <w:rFonts w:ascii="仿宋_GB2312" w:hAnsi="仿宋_GB2312" w:eastAsia="仿宋_GB2312" w:cs="仿宋_GB2312"/>
                <w:sz w:val="30"/>
                <w:szCs w:val="30"/>
              </w:rPr>
            </w:pPr>
          </w:p>
          <w:p>
            <w:pPr>
              <w:pStyle w:val="10"/>
              <w:spacing w:line="320" w:lineRule="exact"/>
              <w:ind w:left="17" w:right="11"/>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数控技术师</w:t>
            </w:r>
          </w:p>
        </w:tc>
        <w:tc>
          <w:tcPr>
            <w:tcW w:w="2160" w:type="dxa"/>
          </w:tcPr>
          <w:p>
            <w:pPr>
              <w:pStyle w:val="10"/>
              <w:spacing w:line="288"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高职：</w:t>
            </w:r>
          </w:p>
          <w:p>
            <w:pPr>
              <w:pStyle w:val="10"/>
              <w:spacing w:before="158" w:line="288" w:lineRule="auto"/>
              <w:ind w:left="106" w:right="-1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机电设备技术</w:t>
            </w:r>
          </w:p>
          <w:p>
            <w:pPr>
              <w:pStyle w:val="10"/>
              <w:spacing w:before="158" w:line="288" w:lineRule="auto"/>
              <w:ind w:left="106" w:right="-15"/>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（460202）</w:t>
            </w:r>
          </w:p>
          <w:p>
            <w:pPr>
              <w:pStyle w:val="10"/>
              <w:spacing w:line="288"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智能控制技术（460303）等</w:t>
            </w:r>
          </w:p>
        </w:tc>
        <w:tc>
          <w:tcPr>
            <w:tcW w:w="2541" w:type="dxa"/>
          </w:tcPr>
          <w:p>
            <w:pPr>
              <w:pStyle w:val="10"/>
              <w:spacing w:line="288" w:lineRule="auto"/>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本科：</w:t>
            </w:r>
          </w:p>
          <w:p>
            <w:pPr>
              <w:pStyle w:val="10"/>
              <w:spacing w:before="158" w:line="288" w:lineRule="auto"/>
              <w:ind w:left="106" w:right="-29"/>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机械设计制造及自动化（080202）</w:t>
            </w:r>
          </w:p>
          <w:p>
            <w:pPr>
              <w:pStyle w:val="10"/>
              <w:spacing w:before="158" w:line="288" w:lineRule="auto"/>
              <w:ind w:left="106" w:right="-29"/>
              <w:rPr>
                <w:rFonts w:ascii="仿宋_GB2312" w:hAnsi="仿宋_GB2312" w:eastAsia="仿宋_GB2312" w:cs="仿宋_GB2312"/>
                <w:spacing w:val="1"/>
                <w:sz w:val="30"/>
                <w:szCs w:val="30"/>
              </w:rPr>
            </w:pPr>
            <w:r>
              <w:rPr>
                <w:rFonts w:hint="eastAsia" w:ascii="仿宋_GB2312" w:hAnsi="仿宋_GB2312" w:eastAsia="仿宋_GB2312" w:cs="仿宋_GB2312"/>
                <w:spacing w:val="1"/>
                <w:sz w:val="30"/>
                <w:szCs w:val="30"/>
              </w:rPr>
              <w:t>材料成型及控制工程（080203）</w:t>
            </w:r>
          </w:p>
          <w:p>
            <w:pPr>
              <w:pStyle w:val="10"/>
              <w:spacing w:line="288" w:lineRule="auto"/>
              <w:jc w:val="center"/>
              <w:rPr>
                <w:rFonts w:ascii="仿宋_GB2312" w:hAnsi="仿宋_GB2312" w:eastAsia="仿宋_GB2312" w:cs="仿宋_GB2312"/>
                <w:sz w:val="30"/>
                <w:szCs w:val="30"/>
              </w:rPr>
            </w:pPr>
            <w:r>
              <w:rPr>
                <w:rFonts w:hint="eastAsia" w:ascii="仿宋_GB2312" w:hAnsi="仿宋_GB2312" w:eastAsia="仿宋_GB2312" w:cs="仿宋_GB2312"/>
                <w:spacing w:val="1"/>
                <w:sz w:val="30"/>
                <w:szCs w:val="30"/>
              </w:rPr>
              <w:t>机械电子工程（080204）</w:t>
            </w:r>
            <w:r>
              <w:rPr>
                <w:rFonts w:hint="eastAsia" w:ascii="仿宋_GB2312" w:hAnsi="仿宋_GB2312" w:eastAsia="仿宋_GB2312" w:cs="仿宋_GB2312"/>
                <w:sz w:val="30"/>
                <w:szCs w:val="30"/>
              </w:rPr>
              <w:t>等</w:t>
            </w:r>
          </w:p>
        </w:tc>
      </w:tr>
    </w:tbl>
    <w:p>
      <w:pPr>
        <w:pStyle w:val="2"/>
        <w:spacing w:before="176" w:line="500" w:lineRule="exact"/>
        <w:ind w:left="0"/>
        <w:rPr>
          <w:rFonts w:ascii="黑体" w:hAnsi="黑体" w:eastAsia="黑体" w:cs="黑体"/>
          <w:sz w:val="30"/>
          <w:szCs w:val="30"/>
        </w:rPr>
      </w:pPr>
      <w:r>
        <w:rPr>
          <w:rFonts w:hint="eastAsia" w:ascii="黑体" w:hAnsi="黑体" w:eastAsia="黑体" w:cs="黑体"/>
          <w:sz w:val="30"/>
          <w:szCs w:val="30"/>
        </w:rPr>
        <w:t>五、培养目标与培养规格</w:t>
      </w:r>
    </w:p>
    <w:p>
      <w:pPr>
        <w:pStyle w:val="2"/>
        <w:spacing w:before="209" w:line="500" w:lineRule="exact"/>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（一）培养目标</w:t>
      </w:r>
    </w:p>
    <w:p>
      <w:pPr>
        <w:pStyle w:val="2"/>
        <w:spacing w:line="50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本专业坚持立德树人，面向机械制造类企业，培养从事数控设备的操作与编程，产品质量的检测，数控设备的管理、维护、营销及售后服务等工作，德智体美全面发展的高素质劳动者和技能型人才。</w:t>
      </w:r>
    </w:p>
    <w:p>
      <w:pPr>
        <w:pStyle w:val="2"/>
        <w:spacing w:line="500" w:lineRule="exact"/>
        <w:ind w:left="0" w:firstLine="572" w:firstLineChars="200"/>
        <w:rPr>
          <w:rFonts w:ascii="仿宋_GB2312" w:hAnsi="仿宋_GB2312" w:eastAsia="仿宋_GB2312" w:cs="仿宋_GB2312"/>
          <w:b/>
          <w:bCs/>
          <w:w w:val="95"/>
          <w:sz w:val="30"/>
          <w:szCs w:val="30"/>
        </w:rPr>
      </w:pPr>
      <w:r>
        <w:rPr>
          <w:rFonts w:hint="eastAsia" w:ascii="仿宋_GB2312" w:hAnsi="仿宋_GB2312" w:eastAsia="仿宋_GB2312" w:cs="仿宋_GB2312"/>
          <w:b/>
          <w:bCs/>
          <w:w w:val="95"/>
          <w:sz w:val="30"/>
          <w:szCs w:val="30"/>
        </w:rPr>
        <w:t>（二）培养规格</w:t>
      </w:r>
    </w:p>
    <w:p>
      <w:pPr>
        <w:pStyle w:val="2"/>
        <w:spacing w:line="50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本专业毕业生应具有以下职业素养、专业知识和技能：</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1.职业素养</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(1)具有良好的职业道德和工匠精神；</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(2)具有良好的人际交流和沟通能力；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(3)具有良好体质和吃苦耐劳的职业精神；</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(4)具有良好的团队合作精神、服务意识、创新意识；</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(5)具有安全生产、环境保护与节能意识。</w:t>
      </w:r>
    </w:p>
    <w:p>
      <w:pPr>
        <w:pStyle w:val="2"/>
        <w:spacing w:line="480" w:lineRule="exact"/>
        <w:ind w:left="0" w:firstLine="600" w:firstLineChars="200"/>
        <w:rPr>
          <w:rFonts w:ascii="仿宋_GB2312" w:hAnsi="仿宋_GB2312" w:eastAsia="仿宋_GB2312" w:cs="仿宋_GB2312"/>
          <w:sz w:val="30"/>
          <w:szCs w:val="30"/>
        </w:rPr>
      </w:pPr>
      <w:bookmarkStart w:id="2" w:name="_Toc424645499"/>
      <w:bookmarkEnd w:id="2"/>
      <w:r>
        <w:rPr>
          <w:rFonts w:hint="eastAsia" w:ascii="仿宋_GB2312" w:hAnsi="仿宋_GB2312" w:eastAsia="仿宋_GB2312" w:cs="仿宋_GB2312"/>
          <w:sz w:val="30"/>
          <w:szCs w:val="30"/>
        </w:rPr>
        <w:t>2.专业知识</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(1)掌握机械制图的基本知识，具备识读零件图、装配图的能力和测绘简单机械零件的能力，会使用通用量具对零件进行精度测量。</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(2)掌握工程材料、金属切削加工、金属材料热处理的基本知识，能正确的选用常用工程材料和热处理方法。</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(3)了解主要机械加工设备结构、性能及使用方法等基本知识。</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(4)掌握机械零件加工工艺的基础知识，能正确识读工艺文件并自觉遵守工艺纪律。</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(5)能对数控车床、铣床进行基本操作，能正确使用数控机床完成真实产品零件的生产加工。</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(6)能对机床日常维护和保养，并判断机床的工作状态。</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3.专业技能</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(1)具备切削设备、刀具、夹具、量具选用的能力。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(2)具备典型零件切削加工工艺规程编制的能力。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(3)具备应用一种CAD/CAM软件的基本能力。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(4)具备常用数控机床的编程、操作、维护的能力。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(5)具备机械设备维修与管理的基本能力。</w:t>
      </w:r>
    </w:p>
    <w:p>
      <w:pPr>
        <w:pStyle w:val="2"/>
        <w:spacing w:line="48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(6)初步具备机械产品质量检测的能力。</w:t>
      </w:r>
    </w:p>
    <w:p>
      <w:pPr>
        <w:pStyle w:val="2"/>
        <w:spacing w:line="480" w:lineRule="exact"/>
        <w:ind w:left="0"/>
        <w:rPr>
          <w:rFonts w:ascii="黑体" w:hAnsi="黑体" w:eastAsia="黑体" w:cs="黑体"/>
          <w:w w:val="95"/>
          <w:sz w:val="30"/>
          <w:szCs w:val="30"/>
        </w:rPr>
      </w:pPr>
      <w:bookmarkStart w:id="3" w:name="（1）热爱祖国，初步树立社会主义核心价值观，努力为中国特色社会主义现代化建设服务"/>
      <w:bookmarkEnd w:id="3"/>
      <w:bookmarkStart w:id="4" w:name="六、课程设置及要求"/>
      <w:bookmarkEnd w:id="4"/>
      <w:bookmarkStart w:id="5" w:name="（1）声乐、视唱表演方向："/>
      <w:bookmarkEnd w:id="5"/>
    </w:p>
    <w:p>
      <w:pPr>
        <w:pStyle w:val="2"/>
        <w:spacing w:line="480" w:lineRule="exact"/>
        <w:ind w:left="0"/>
        <w:rPr>
          <w:rFonts w:ascii="黑体" w:hAnsi="黑体" w:eastAsia="黑体" w:cs="黑体"/>
          <w:sz w:val="30"/>
          <w:szCs w:val="30"/>
        </w:rPr>
      </w:pPr>
      <w:r>
        <w:rPr>
          <w:rFonts w:hint="eastAsia" w:ascii="黑体" w:hAnsi="黑体" w:eastAsia="黑体" w:cs="黑体"/>
          <w:w w:val="95"/>
          <w:sz w:val="30"/>
          <w:szCs w:val="30"/>
        </w:rPr>
        <w:t>六、课程设置及要求</w:t>
      </w:r>
    </w:p>
    <w:p>
      <w:pPr>
        <w:pStyle w:val="11"/>
        <w:tabs>
          <w:tab w:val="left" w:pos="1854"/>
        </w:tabs>
        <w:spacing w:line="480" w:lineRule="exact"/>
        <w:ind w:left="0" w:firstLine="600" w:firstLineChars="200"/>
        <w:rPr>
          <w:rFonts w:ascii="仿宋_GB2312" w:hAnsi="仿宋_GB2312" w:eastAsia="仿宋_GB2312" w:cs="仿宋_GB2312"/>
          <w:color w:val="000000" w:themeColor="text1"/>
          <w:spacing w:val="1"/>
          <w:w w:val="95"/>
          <w:sz w:val="30"/>
          <w:szCs w:val="30"/>
        </w:rPr>
      </w:pPr>
      <w:bookmarkStart w:id="6" w:name="本专业课程分为：公共基础课程和专业（技能）课程。"/>
      <w:bookmarkEnd w:id="6"/>
      <w:r>
        <w:rPr>
          <w:rFonts w:hint="eastAsia" w:ascii="仿宋_GB2312" w:hAnsi="仿宋_GB2312" w:eastAsia="仿宋_GB2312" w:cs="仿宋_GB2312"/>
          <w:sz w:val="30"/>
          <w:szCs w:val="30"/>
        </w:rPr>
        <w:t>本专业课程分为：公共基础课程和专业（技能）</w:t>
      </w:r>
      <w:bookmarkStart w:id="7" w:name="2.知识和能力"/>
      <w:bookmarkEnd w:id="7"/>
      <w:r>
        <w:rPr>
          <w:rFonts w:hint="eastAsia" w:ascii="仿宋_GB2312" w:hAnsi="仿宋_GB2312" w:eastAsia="仿宋_GB2312" w:cs="仿宋_GB2312"/>
          <w:sz w:val="30"/>
          <w:szCs w:val="30"/>
        </w:rPr>
        <w:t>课程</w:t>
      </w:r>
      <w:r>
        <w:rPr>
          <w:rFonts w:hint="eastAsia" w:ascii="仿宋_GB2312" w:hAnsi="仿宋_GB2312" w:eastAsia="仿宋_GB2312" w:cs="仿宋_GB2312"/>
          <w:color w:val="000000" w:themeColor="text1"/>
          <w:spacing w:val="1"/>
          <w:w w:val="95"/>
          <w:sz w:val="30"/>
          <w:szCs w:val="30"/>
        </w:rPr>
        <w:t>。</w:t>
      </w:r>
    </w:p>
    <w:p>
      <w:pPr>
        <w:pStyle w:val="2"/>
        <w:numPr>
          <w:ilvl w:val="0"/>
          <w:numId w:val="1"/>
        </w:numPr>
        <w:spacing w:line="480" w:lineRule="exact"/>
        <w:rPr>
          <w:rFonts w:ascii="仿宋_GB2312" w:hAnsi="仿宋_GB2312" w:eastAsia="仿宋_GB2312" w:cs="仿宋_GB2312"/>
          <w:b/>
          <w:bCs/>
          <w:sz w:val="30"/>
          <w:szCs w:val="30"/>
        </w:rPr>
      </w:pPr>
      <w:bookmarkStart w:id="8" w:name="（一）公共基础课程"/>
      <w:bookmarkEnd w:id="8"/>
      <w:r>
        <w:rPr>
          <w:rFonts w:hint="eastAsia" w:ascii="仿宋_GB2312" w:hAnsi="仿宋_GB2312" w:eastAsia="仿宋_GB2312" w:cs="仿宋_GB2312"/>
          <w:b/>
          <w:bCs/>
          <w:sz w:val="30"/>
          <w:szCs w:val="30"/>
        </w:rPr>
        <w:t>公共基础课程</w:t>
      </w:r>
    </w:p>
    <w:tbl>
      <w:tblPr>
        <w:tblStyle w:val="8"/>
        <w:tblpPr w:leftFromText="180" w:rightFromText="180" w:vertAnchor="text" w:horzAnchor="page" w:tblpX="1009" w:tblpY="27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702"/>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534" w:type="dxa"/>
            <w:shd w:val="clear" w:color="auto" w:fill="auto"/>
          </w:tcPr>
          <w:p>
            <w:pPr>
              <w:pStyle w:val="10"/>
              <w:spacing w:before="77"/>
              <w:ind w:left="147"/>
              <w:rPr>
                <w:rFonts w:ascii="仿宋_GB2312" w:hAnsi="仿宋_GB2312" w:eastAsia="仿宋_GB2312" w:cs="仿宋_GB2312"/>
                <w:sz w:val="28"/>
                <w:szCs w:val="28"/>
              </w:rPr>
            </w:pPr>
            <w:r>
              <w:rPr>
                <w:rFonts w:hint="eastAsia" w:ascii="仿宋_GB2312" w:hAnsi="仿宋_GB2312" w:eastAsia="仿宋_GB2312" w:cs="仿宋_GB2312"/>
                <w:sz w:val="28"/>
                <w:szCs w:val="28"/>
              </w:rPr>
              <w:t>序</w:t>
            </w:r>
          </w:p>
          <w:p>
            <w:pPr>
              <w:pStyle w:val="10"/>
              <w:spacing w:before="93" w:line="302" w:lineRule="exact"/>
              <w:ind w:left="147"/>
              <w:rPr>
                <w:rFonts w:ascii="仿宋_GB2312" w:hAnsi="仿宋_GB2312" w:eastAsia="仿宋_GB2312" w:cs="仿宋_GB2312"/>
                <w:sz w:val="28"/>
                <w:szCs w:val="28"/>
              </w:rPr>
            </w:pPr>
            <w:r>
              <w:rPr>
                <w:rFonts w:hint="eastAsia" w:ascii="仿宋_GB2312" w:hAnsi="仿宋_GB2312" w:eastAsia="仿宋_GB2312" w:cs="仿宋_GB2312"/>
                <w:sz w:val="28"/>
                <w:szCs w:val="28"/>
              </w:rPr>
              <w:t>号</w:t>
            </w:r>
          </w:p>
        </w:tc>
        <w:tc>
          <w:tcPr>
            <w:tcW w:w="1506" w:type="dxa"/>
            <w:shd w:val="clear" w:color="auto" w:fill="auto"/>
          </w:tcPr>
          <w:p>
            <w:pPr>
              <w:pStyle w:val="10"/>
              <w:spacing w:line="700" w:lineRule="exact"/>
              <w:ind w:right="10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702" w:type="dxa"/>
            <w:shd w:val="clear" w:color="auto" w:fill="auto"/>
          </w:tcPr>
          <w:p>
            <w:pPr>
              <w:pStyle w:val="10"/>
              <w:spacing w:line="7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245" w:type="dxa"/>
            <w:shd w:val="clear" w:color="auto" w:fill="auto"/>
          </w:tcPr>
          <w:p>
            <w:pPr>
              <w:pStyle w:val="10"/>
              <w:spacing w:line="700" w:lineRule="exact"/>
              <w:ind w:right="108"/>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4" w:hRule="atLeast"/>
        </w:trPr>
        <w:tc>
          <w:tcPr>
            <w:tcW w:w="534" w:type="dxa"/>
          </w:tcPr>
          <w:p>
            <w:pPr>
              <w:pStyle w:val="10"/>
              <w:rPr>
                <w:rFonts w:ascii="仿宋_GB2312" w:hAnsi="仿宋_GB2312" w:eastAsia="仿宋_GB2312" w:cs="仿宋_GB2312"/>
                <w:sz w:val="24"/>
                <w:szCs w:val="24"/>
              </w:rPr>
            </w:pPr>
          </w:p>
          <w:p>
            <w:pPr>
              <w:pStyle w:val="10"/>
              <w:spacing w:before="207"/>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506" w:type="dxa"/>
          </w:tcPr>
          <w:p>
            <w:pPr>
              <w:pStyle w:val="10"/>
              <w:spacing w:before="8"/>
              <w:rPr>
                <w:rFonts w:ascii="仿宋_GB2312" w:hAnsi="仿宋_GB2312" w:eastAsia="仿宋_GB2312" w:cs="仿宋_GB2312"/>
                <w:sz w:val="24"/>
                <w:szCs w:val="24"/>
              </w:rPr>
            </w:pPr>
          </w:p>
          <w:p>
            <w:pPr>
              <w:pStyle w:val="10"/>
              <w:spacing w:line="312" w:lineRule="auto"/>
              <w:ind w:left="254" w:right="159" w:hanging="12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心理健康与</w:t>
            </w:r>
            <w:r>
              <w:rPr>
                <w:rFonts w:hint="eastAsia" w:ascii="仿宋_GB2312" w:hAnsi="仿宋_GB2312" w:eastAsia="仿宋_GB2312" w:cs="仿宋_GB2312"/>
                <w:sz w:val="24"/>
                <w:szCs w:val="24"/>
              </w:rPr>
              <w:t>职业生涯</w:t>
            </w:r>
          </w:p>
        </w:tc>
        <w:tc>
          <w:tcPr>
            <w:tcW w:w="6702" w:type="dxa"/>
          </w:tcPr>
          <w:p>
            <w:pPr>
              <w:pStyle w:val="10"/>
              <w:spacing w:before="117" w:line="264" w:lineRule="auto"/>
              <w:ind w:left="130" w:right="198" w:firstLine="482"/>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依据《中等职业学校心理健康与职业生涯教学大纲》开设，并注重培养学生正确的职业理想和职业观、择业观、创</w:t>
            </w:r>
            <w:r>
              <w:rPr>
                <w:rFonts w:hint="eastAsia" w:ascii="仿宋_GB2312" w:hAnsi="仿宋_GB2312" w:eastAsia="仿宋_GB2312" w:cs="仿宋_GB2312"/>
                <w:sz w:val="24"/>
                <w:szCs w:val="24"/>
              </w:rPr>
              <w:t>业观以及成才观等在本专业的应用能力。</w:t>
            </w:r>
          </w:p>
        </w:tc>
        <w:tc>
          <w:tcPr>
            <w:tcW w:w="1245" w:type="dxa"/>
          </w:tcPr>
          <w:p>
            <w:pPr>
              <w:pStyle w:val="10"/>
              <w:rPr>
                <w:rFonts w:ascii="仿宋_GB2312" w:hAnsi="仿宋_GB2312" w:eastAsia="仿宋_GB2312" w:cs="仿宋_GB2312"/>
                <w:sz w:val="24"/>
                <w:szCs w:val="24"/>
              </w:rPr>
            </w:pPr>
          </w:p>
          <w:p>
            <w:pPr>
              <w:pStyle w:val="10"/>
              <w:spacing w:before="207"/>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7" w:hRule="atLeast"/>
        </w:trPr>
        <w:tc>
          <w:tcPr>
            <w:tcW w:w="534" w:type="dxa"/>
          </w:tcPr>
          <w:p>
            <w:pPr>
              <w:pStyle w:val="10"/>
              <w:spacing w:before="9"/>
              <w:rPr>
                <w:rFonts w:ascii="仿宋_GB2312" w:hAnsi="仿宋_GB2312" w:eastAsia="仿宋_GB2312" w:cs="仿宋_GB2312"/>
                <w:sz w:val="24"/>
                <w:szCs w:val="24"/>
              </w:rPr>
            </w:pPr>
          </w:p>
          <w:p>
            <w:pPr>
              <w:pStyle w:val="10"/>
              <w:spacing w:before="1"/>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506" w:type="dxa"/>
          </w:tcPr>
          <w:p>
            <w:pPr>
              <w:pStyle w:val="10"/>
              <w:spacing w:before="208" w:line="312" w:lineRule="auto"/>
              <w:ind w:left="364" w:right="289" w:hanging="12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职业道德</w:t>
            </w:r>
            <w:r>
              <w:rPr>
                <w:rFonts w:hint="eastAsia" w:ascii="仿宋_GB2312" w:hAnsi="仿宋_GB2312" w:eastAsia="仿宋_GB2312" w:cs="仿宋_GB2312"/>
                <w:sz w:val="24"/>
                <w:szCs w:val="24"/>
              </w:rPr>
              <w:t>与法治</w:t>
            </w:r>
          </w:p>
        </w:tc>
        <w:tc>
          <w:tcPr>
            <w:tcW w:w="6702" w:type="dxa"/>
          </w:tcPr>
          <w:p>
            <w:pPr>
              <w:pStyle w:val="10"/>
              <w:spacing w:before="208" w:line="264" w:lineRule="auto"/>
              <w:ind w:left="130" w:right="34"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依据《中等职业学校职业道德与法治教学大纲》开设，并注</w:t>
            </w:r>
            <w:r>
              <w:rPr>
                <w:rFonts w:hint="eastAsia" w:ascii="仿宋_GB2312" w:hAnsi="仿宋_GB2312" w:eastAsia="仿宋_GB2312" w:cs="仿宋_GB2312"/>
                <w:spacing w:val="-8"/>
                <w:sz w:val="24"/>
                <w:szCs w:val="24"/>
              </w:rPr>
              <w:t>重培养学生职业道德意识、法治观念等在本专业的应用能力。</w:t>
            </w:r>
          </w:p>
        </w:tc>
        <w:tc>
          <w:tcPr>
            <w:tcW w:w="1245" w:type="dxa"/>
          </w:tcPr>
          <w:p>
            <w:pPr>
              <w:pStyle w:val="10"/>
              <w:spacing w:before="9"/>
              <w:rPr>
                <w:rFonts w:ascii="仿宋_GB2312" w:hAnsi="仿宋_GB2312" w:eastAsia="仿宋_GB2312" w:cs="仿宋_GB2312"/>
                <w:sz w:val="24"/>
                <w:szCs w:val="24"/>
              </w:rPr>
            </w:pPr>
          </w:p>
          <w:p>
            <w:pPr>
              <w:pStyle w:val="10"/>
              <w:spacing w:before="1"/>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534" w:type="dxa"/>
          </w:tcPr>
          <w:p>
            <w:pPr>
              <w:pStyle w:val="10"/>
              <w:rPr>
                <w:rFonts w:ascii="仿宋_GB2312" w:hAnsi="仿宋_GB2312" w:eastAsia="仿宋_GB2312" w:cs="仿宋_GB2312"/>
                <w:sz w:val="24"/>
                <w:szCs w:val="24"/>
              </w:rPr>
            </w:pPr>
          </w:p>
          <w:p>
            <w:pPr>
              <w:pStyle w:val="10"/>
              <w:spacing w:before="11"/>
              <w:rPr>
                <w:rFonts w:ascii="仿宋_GB2312" w:hAnsi="仿宋_GB2312" w:eastAsia="仿宋_GB2312" w:cs="仿宋_GB2312"/>
                <w:sz w:val="24"/>
                <w:szCs w:val="24"/>
              </w:rPr>
            </w:pPr>
          </w:p>
          <w:p>
            <w:pPr>
              <w:pStyle w:val="10"/>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506" w:type="dxa"/>
          </w:tcPr>
          <w:p>
            <w:pPr>
              <w:pStyle w:val="10"/>
              <w:spacing w:before="4"/>
              <w:rPr>
                <w:rFonts w:ascii="仿宋_GB2312" w:hAnsi="仿宋_GB2312" w:eastAsia="仿宋_GB2312" w:cs="仿宋_GB2312"/>
                <w:sz w:val="24"/>
                <w:szCs w:val="24"/>
              </w:rPr>
            </w:pPr>
          </w:p>
          <w:p>
            <w:pPr>
              <w:pStyle w:val="10"/>
              <w:spacing w:line="312" w:lineRule="auto"/>
              <w:ind w:left="244" w:right="289"/>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中国特色社会主义</w:t>
            </w:r>
          </w:p>
        </w:tc>
        <w:tc>
          <w:tcPr>
            <w:tcW w:w="6702" w:type="dxa"/>
          </w:tcPr>
          <w:p>
            <w:pPr>
              <w:pStyle w:val="10"/>
              <w:spacing w:before="138" w:line="264" w:lineRule="auto"/>
              <w:ind w:left="130" w:right="33" w:firstLine="480"/>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依据《中等职业学校中国特色社会主义教学大纲》开设，</w:t>
            </w:r>
            <w:r>
              <w:rPr>
                <w:rFonts w:hint="eastAsia" w:ascii="仿宋_GB2312" w:hAnsi="仿宋_GB2312" w:eastAsia="仿宋_GB2312" w:cs="仿宋_GB2312"/>
                <w:sz w:val="24"/>
                <w:szCs w:val="24"/>
              </w:rPr>
              <w:t>并注重培养学生思想政治素质，坚定走中国特色社会主义道</w:t>
            </w:r>
          </w:p>
          <w:p>
            <w:pPr>
              <w:pStyle w:val="10"/>
              <w:spacing w:line="264" w:lineRule="auto"/>
              <w:ind w:left="130"/>
              <w:rPr>
                <w:rFonts w:ascii="仿宋_GB2312" w:hAnsi="仿宋_GB2312" w:eastAsia="仿宋_GB2312" w:cs="仿宋_GB2312"/>
                <w:sz w:val="24"/>
                <w:szCs w:val="24"/>
              </w:rPr>
            </w:pPr>
            <w:r>
              <w:rPr>
                <w:rFonts w:hint="eastAsia" w:ascii="仿宋_GB2312" w:hAnsi="仿宋_GB2312" w:eastAsia="仿宋_GB2312" w:cs="仿宋_GB2312"/>
                <w:sz w:val="24"/>
                <w:szCs w:val="24"/>
              </w:rPr>
              <w:t>路的信念等在本专业的应用能力。</w:t>
            </w:r>
          </w:p>
        </w:tc>
        <w:tc>
          <w:tcPr>
            <w:tcW w:w="1245" w:type="dxa"/>
          </w:tcPr>
          <w:p>
            <w:pPr>
              <w:pStyle w:val="10"/>
              <w:rPr>
                <w:rFonts w:ascii="仿宋_GB2312" w:hAnsi="仿宋_GB2312" w:eastAsia="仿宋_GB2312" w:cs="仿宋_GB2312"/>
                <w:sz w:val="24"/>
                <w:szCs w:val="24"/>
              </w:rPr>
            </w:pPr>
          </w:p>
          <w:p>
            <w:pPr>
              <w:pStyle w:val="10"/>
              <w:spacing w:before="11"/>
              <w:rPr>
                <w:rFonts w:ascii="仿宋_GB2312" w:hAnsi="仿宋_GB2312" w:eastAsia="仿宋_GB2312" w:cs="仿宋_GB2312"/>
                <w:sz w:val="24"/>
                <w:szCs w:val="24"/>
              </w:rPr>
            </w:pPr>
          </w:p>
          <w:p>
            <w:pPr>
              <w:pStyle w:val="10"/>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3" w:hRule="atLeast"/>
        </w:trPr>
        <w:tc>
          <w:tcPr>
            <w:tcW w:w="534" w:type="dxa"/>
          </w:tcPr>
          <w:p>
            <w:pPr>
              <w:pStyle w:val="10"/>
              <w:rPr>
                <w:rFonts w:ascii="仿宋_GB2312" w:hAnsi="仿宋_GB2312" w:eastAsia="仿宋_GB2312" w:cs="仿宋_GB2312"/>
                <w:sz w:val="24"/>
                <w:szCs w:val="24"/>
              </w:rPr>
            </w:pPr>
          </w:p>
          <w:p>
            <w:pPr>
              <w:pStyle w:val="10"/>
              <w:spacing w:before="8"/>
              <w:rPr>
                <w:rFonts w:ascii="仿宋_GB2312" w:hAnsi="仿宋_GB2312" w:eastAsia="仿宋_GB2312" w:cs="仿宋_GB2312"/>
                <w:sz w:val="24"/>
                <w:szCs w:val="24"/>
              </w:rPr>
            </w:pPr>
          </w:p>
          <w:p>
            <w:pPr>
              <w:pStyle w:val="10"/>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506" w:type="dxa"/>
          </w:tcPr>
          <w:p>
            <w:pPr>
              <w:pStyle w:val="10"/>
              <w:rPr>
                <w:rFonts w:ascii="仿宋_GB2312" w:hAnsi="仿宋_GB2312" w:eastAsia="仿宋_GB2312" w:cs="仿宋_GB2312"/>
                <w:sz w:val="24"/>
                <w:szCs w:val="24"/>
              </w:rPr>
            </w:pPr>
          </w:p>
          <w:p>
            <w:pPr>
              <w:pStyle w:val="10"/>
              <w:spacing w:before="8"/>
              <w:rPr>
                <w:rFonts w:ascii="仿宋_GB2312" w:hAnsi="仿宋_GB2312" w:eastAsia="仿宋_GB2312" w:cs="仿宋_GB2312"/>
                <w:sz w:val="24"/>
                <w:szCs w:val="24"/>
              </w:rPr>
            </w:pPr>
          </w:p>
          <w:p>
            <w:pPr>
              <w:pStyle w:val="10"/>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哲学与人生</w:t>
            </w:r>
          </w:p>
        </w:tc>
        <w:tc>
          <w:tcPr>
            <w:tcW w:w="6702" w:type="dxa"/>
          </w:tcPr>
          <w:p>
            <w:pPr>
              <w:pStyle w:val="10"/>
              <w:spacing w:before="135" w:line="312" w:lineRule="auto"/>
              <w:ind w:left="128" w:right="198" w:firstLine="48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依据《中等职业学校哲学与人生教学大纲》开设，并注重培养学生正确的价值判断和行为选择，积极向上的人生态</w:t>
            </w:r>
          </w:p>
          <w:p>
            <w:pPr>
              <w:pStyle w:val="10"/>
              <w:spacing w:line="307" w:lineRule="exact"/>
              <w:ind w:left="128"/>
              <w:rPr>
                <w:rFonts w:ascii="仿宋_GB2312" w:hAnsi="仿宋_GB2312" w:eastAsia="仿宋_GB2312" w:cs="仿宋_GB2312"/>
                <w:sz w:val="24"/>
                <w:szCs w:val="24"/>
              </w:rPr>
            </w:pPr>
            <w:r>
              <w:rPr>
                <w:rFonts w:hint="eastAsia" w:ascii="仿宋_GB2312" w:hAnsi="仿宋_GB2312" w:eastAsia="仿宋_GB2312" w:cs="仿宋_GB2312"/>
                <w:sz w:val="24"/>
                <w:szCs w:val="24"/>
              </w:rPr>
              <w:t>度等在本专业的应用能力。</w:t>
            </w:r>
          </w:p>
        </w:tc>
        <w:tc>
          <w:tcPr>
            <w:tcW w:w="1245" w:type="dxa"/>
          </w:tcPr>
          <w:p>
            <w:pPr>
              <w:pStyle w:val="10"/>
              <w:rPr>
                <w:rFonts w:ascii="仿宋_GB2312" w:hAnsi="仿宋_GB2312" w:eastAsia="仿宋_GB2312" w:cs="仿宋_GB2312"/>
                <w:sz w:val="24"/>
                <w:szCs w:val="24"/>
              </w:rPr>
            </w:pPr>
          </w:p>
          <w:p>
            <w:pPr>
              <w:pStyle w:val="10"/>
              <w:spacing w:before="8"/>
              <w:rPr>
                <w:rFonts w:ascii="仿宋_GB2312" w:hAnsi="仿宋_GB2312" w:eastAsia="仿宋_GB2312" w:cs="仿宋_GB2312"/>
                <w:sz w:val="24"/>
                <w:szCs w:val="24"/>
              </w:rPr>
            </w:pPr>
          </w:p>
          <w:p>
            <w:pPr>
              <w:pStyle w:val="10"/>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7" w:hRule="atLeast"/>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2"/>
              <w:rPr>
                <w:rFonts w:ascii="仿宋_GB2312" w:hAnsi="仿宋_GB2312" w:eastAsia="仿宋_GB2312" w:cs="仿宋_GB2312"/>
                <w:sz w:val="24"/>
                <w:szCs w:val="24"/>
              </w:rPr>
            </w:pPr>
          </w:p>
          <w:p>
            <w:pPr>
              <w:pStyle w:val="10"/>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2"/>
              <w:rPr>
                <w:rFonts w:ascii="仿宋_GB2312" w:hAnsi="仿宋_GB2312" w:eastAsia="仿宋_GB2312" w:cs="仿宋_GB2312"/>
                <w:sz w:val="24"/>
                <w:szCs w:val="24"/>
              </w:rPr>
            </w:pPr>
          </w:p>
          <w:p>
            <w:pPr>
              <w:pStyle w:val="10"/>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6702" w:type="dxa"/>
          </w:tcPr>
          <w:p>
            <w:pPr>
              <w:pStyle w:val="10"/>
              <w:spacing w:before="119" w:line="312" w:lineRule="auto"/>
              <w:ind w:left="128" w:right="33" w:firstLine="480"/>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依据《中等职业学校历史课程标准 2020 年版》开设</w:t>
            </w:r>
            <w:r>
              <w:rPr>
                <w:rFonts w:hint="eastAsia" w:ascii="仿宋_GB2312" w:hAnsi="仿宋_GB2312" w:eastAsia="仿宋_GB2312" w:cs="仿宋_GB2312"/>
                <w:spacing w:val="-3"/>
                <w:sz w:val="24"/>
                <w:szCs w:val="24"/>
              </w:rPr>
              <w:t>注重培养学生历史学科核心素养，</w:t>
            </w:r>
            <w:r>
              <w:rPr>
                <w:rFonts w:hint="eastAsia" w:ascii="仿宋_GB2312" w:hAnsi="仿宋_GB2312" w:eastAsia="仿宋_GB2312" w:cs="仿宋_GB2312"/>
                <w:spacing w:val="-10"/>
                <w:sz w:val="24"/>
                <w:szCs w:val="24"/>
              </w:rPr>
              <w:t>使学生进一步掌握重要的历史事件、历史人物、历史现象，理</w:t>
            </w:r>
            <w:r>
              <w:rPr>
                <w:rFonts w:hint="eastAsia" w:ascii="仿宋_GB2312" w:hAnsi="仿宋_GB2312" w:eastAsia="仿宋_GB2312" w:cs="仿宋_GB2312"/>
                <w:spacing w:val="-11"/>
                <w:sz w:val="24"/>
                <w:szCs w:val="24"/>
              </w:rPr>
              <w:t>解重要的历史概念，了解历史发展的基本线索，不同历史时期人类社会的基本特征，初步认识历史发展的基本规律等在本专</w:t>
            </w:r>
            <w:r>
              <w:rPr>
                <w:rFonts w:hint="eastAsia" w:ascii="仿宋_GB2312" w:hAnsi="仿宋_GB2312" w:eastAsia="仿宋_GB2312" w:cs="仿宋_GB2312"/>
                <w:sz w:val="24"/>
                <w:szCs w:val="24"/>
              </w:rPr>
              <w:t>业中的应用能力。</w:t>
            </w:r>
          </w:p>
        </w:tc>
        <w:tc>
          <w:tcPr>
            <w:tcW w:w="1245"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2"/>
              <w:rPr>
                <w:rFonts w:ascii="仿宋_GB2312" w:hAnsi="仿宋_GB2312" w:eastAsia="仿宋_GB2312" w:cs="仿宋_GB2312"/>
                <w:sz w:val="24"/>
                <w:szCs w:val="24"/>
              </w:rPr>
            </w:pPr>
          </w:p>
          <w:p>
            <w:pPr>
              <w:pStyle w:val="10"/>
              <w:ind w:left="188"/>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2"/>
              <w:rPr>
                <w:rFonts w:ascii="仿宋_GB2312" w:hAnsi="仿宋_GB2312" w:eastAsia="仿宋_GB2312" w:cs="仿宋_GB2312"/>
                <w:sz w:val="24"/>
                <w:szCs w:val="24"/>
              </w:rPr>
            </w:pPr>
          </w:p>
          <w:p>
            <w:pPr>
              <w:pStyle w:val="10"/>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语文</w:t>
            </w:r>
          </w:p>
        </w:tc>
        <w:tc>
          <w:tcPr>
            <w:tcW w:w="6702" w:type="dxa"/>
          </w:tcPr>
          <w:p>
            <w:pPr>
              <w:pStyle w:val="10"/>
              <w:spacing w:before="191" w:line="312" w:lineRule="auto"/>
              <w:ind w:left="128" w:right="136" w:firstLine="465"/>
              <w:jc w:val="both"/>
              <w:rPr>
                <w:rFonts w:ascii="仿宋_GB2312" w:hAnsi="仿宋_GB2312" w:eastAsia="仿宋_GB2312" w:cs="仿宋_GB2312"/>
                <w:sz w:val="24"/>
                <w:szCs w:val="24"/>
              </w:rPr>
            </w:pPr>
            <w:r>
              <w:rPr>
                <w:rFonts w:hint="eastAsia" w:ascii="仿宋_GB2312" w:hAnsi="仿宋_GB2312" w:eastAsia="仿宋_GB2312" w:cs="仿宋_GB2312"/>
                <w:spacing w:val="-7"/>
                <w:sz w:val="24"/>
                <w:szCs w:val="24"/>
              </w:rPr>
              <w:t>依据《中等职业学校语文课程标准</w:t>
            </w:r>
            <w:r>
              <w:rPr>
                <w:rFonts w:hint="eastAsia" w:ascii="仿宋_GB2312" w:hAnsi="仿宋_GB2312" w:eastAsia="仿宋_GB2312" w:cs="仿宋_GB2312"/>
                <w:spacing w:val="1"/>
                <w:sz w:val="24"/>
                <w:szCs w:val="24"/>
              </w:rPr>
              <w:t>2020</w:t>
            </w:r>
            <w:r>
              <w:rPr>
                <w:rFonts w:hint="eastAsia" w:ascii="仿宋_GB2312" w:hAnsi="仿宋_GB2312" w:eastAsia="仿宋_GB2312" w:cs="仿宋_GB2312"/>
                <w:spacing w:val="-14"/>
                <w:sz w:val="24"/>
                <w:szCs w:val="24"/>
              </w:rPr>
              <w:t>年版》开设，</w:t>
            </w:r>
            <w:r>
              <w:rPr>
                <w:rFonts w:hint="eastAsia" w:ascii="仿宋_GB2312" w:hAnsi="仿宋_GB2312" w:eastAsia="仿宋_GB2312" w:cs="仿宋_GB2312"/>
                <w:spacing w:val="-11"/>
                <w:sz w:val="24"/>
                <w:szCs w:val="24"/>
              </w:rPr>
              <w:t>通过阅读与欣赏、表达与交流及语文综合实践等活动，在语言</w:t>
            </w:r>
            <w:r>
              <w:rPr>
                <w:rFonts w:hint="eastAsia" w:ascii="仿宋_GB2312" w:hAnsi="仿宋_GB2312" w:eastAsia="仿宋_GB2312" w:cs="仿宋_GB2312"/>
                <w:spacing w:val="-12"/>
                <w:sz w:val="24"/>
                <w:szCs w:val="24"/>
              </w:rPr>
              <w:t>理解与运用、思维发展与提升、审美发现与鉴赏、文化传承与</w:t>
            </w:r>
            <w:r>
              <w:rPr>
                <w:rFonts w:hint="eastAsia" w:ascii="仿宋_GB2312" w:hAnsi="仿宋_GB2312" w:eastAsia="仿宋_GB2312" w:cs="仿宋_GB2312"/>
                <w:sz w:val="24"/>
                <w:szCs w:val="24"/>
              </w:rPr>
              <w:t>参与等方面都获得持续发展，自觉弘扬社会主义核心价值</w:t>
            </w:r>
            <w:r>
              <w:rPr>
                <w:rFonts w:hint="eastAsia" w:ascii="仿宋_GB2312" w:hAnsi="仿宋_GB2312" w:eastAsia="仿宋_GB2312" w:cs="仿宋_GB2312"/>
                <w:spacing w:val="-12"/>
                <w:sz w:val="24"/>
                <w:szCs w:val="24"/>
              </w:rPr>
              <w:t>观，坚定文化自信，树立正确的人生理想，为</w:t>
            </w:r>
            <w:r>
              <w:rPr>
                <w:rFonts w:hint="eastAsia" w:ascii="仿宋_GB2312" w:hAnsi="仿宋_GB2312" w:eastAsia="仿宋_GB2312" w:cs="仿宋_GB2312"/>
                <w:sz w:val="24"/>
                <w:szCs w:val="24"/>
              </w:rPr>
              <w:t>适应个人终身发展和社会发展需要提供支撑。</w:t>
            </w:r>
          </w:p>
        </w:tc>
        <w:tc>
          <w:tcPr>
            <w:tcW w:w="1245"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534" w:type="dxa"/>
          </w:tcPr>
          <w:p>
            <w:pPr>
              <w:pStyle w:val="10"/>
              <w:jc w:val="center"/>
              <w:rPr>
                <w:rFonts w:ascii="仿宋_GB2312" w:hAnsi="仿宋_GB2312" w:eastAsia="仿宋_GB2312" w:cs="仿宋_GB2312"/>
                <w:sz w:val="24"/>
                <w:szCs w:val="24"/>
              </w:rPr>
            </w:pPr>
          </w:p>
          <w:p>
            <w:pPr>
              <w:pStyle w:val="10"/>
              <w:jc w:val="center"/>
              <w:rPr>
                <w:rFonts w:ascii="仿宋_GB2312" w:hAnsi="仿宋_GB2312" w:eastAsia="仿宋_GB2312" w:cs="仿宋_GB2312"/>
                <w:sz w:val="24"/>
                <w:szCs w:val="24"/>
              </w:rPr>
            </w:pPr>
          </w:p>
          <w:p>
            <w:pPr>
              <w:pStyle w:val="10"/>
              <w:spacing w:before="16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506" w:type="dxa"/>
          </w:tcPr>
          <w:p>
            <w:pPr>
              <w:pStyle w:val="10"/>
              <w:jc w:val="center"/>
              <w:rPr>
                <w:rFonts w:ascii="仿宋_GB2312" w:hAnsi="仿宋_GB2312" w:eastAsia="仿宋_GB2312" w:cs="仿宋_GB2312"/>
                <w:sz w:val="24"/>
                <w:szCs w:val="24"/>
              </w:rPr>
            </w:pPr>
          </w:p>
          <w:p>
            <w:pPr>
              <w:pStyle w:val="10"/>
              <w:jc w:val="center"/>
              <w:rPr>
                <w:rFonts w:ascii="仿宋_GB2312" w:hAnsi="仿宋_GB2312" w:eastAsia="仿宋_GB2312" w:cs="仿宋_GB2312"/>
                <w:sz w:val="24"/>
                <w:szCs w:val="24"/>
              </w:rPr>
            </w:pPr>
          </w:p>
          <w:p>
            <w:pPr>
              <w:pStyle w:val="10"/>
              <w:spacing w:before="169"/>
              <w:ind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数学</w:t>
            </w:r>
          </w:p>
        </w:tc>
        <w:tc>
          <w:tcPr>
            <w:tcW w:w="6702" w:type="dxa"/>
          </w:tcPr>
          <w:p>
            <w:pPr>
              <w:pStyle w:val="10"/>
              <w:spacing w:before="5"/>
              <w:rPr>
                <w:rFonts w:ascii="仿宋_GB2312" w:hAnsi="仿宋_GB2312" w:eastAsia="仿宋_GB2312" w:cs="仿宋_GB2312"/>
                <w:sz w:val="24"/>
                <w:szCs w:val="24"/>
              </w:rPr>
            </w:pPr>
          </w:p>
          <w:p>
            <w:pPr>
              <w:pStyle w:val="10"/>
              <w:spacing w:before="1" w:line="312" w:lineRule="auto"/>
              <w:ind w:left="128" w:right="33" w:firstLine="468"/>
              <w:jc w:val="both"/>
              <w:rPr>
                <w:rFonts w:ascii="仿宋_GB2312" w:hAnsi="仿宋_GB2312" w:eastAsia="仿宋_GB2312" w:cs="仿宋_GB2312"/>
                <w:sz w:val="24"/>
                <w:szCs w:val="24"/>
              </w:rPr>
            </w:pPr>
            <w:r>
              <w:rPr>
                <w:rFonts w:hint="eastAsia" w:ascii="仿宋_GB2312" w:hAnsi="仿宋_GB2312" w:eastAsia="仿宋_GB2312" w:cs="仿宋_GB2312"/>
                <w:spacing w:val="-4"/>
                <w:sz w:val="24"/>
                <w:szCs w:val="24"/>
              </w:rPr>
              <w:t>依据《中等职业学校数学课程标准2020</w:t>
            </w:r>
            <w:r>
              <w:rPr>
                <w:rFonts w:hint="eastAsia" w:ascii="仿宋_GB2312" w:hAnsi="仿宋_GB2312" w:eastAsia="仿宋_GB2312" w:cs="仿宋_GB2312"/>
                <w:spacing w:val="-3"/>
                <w:sz w:val="24"/>
                <w:szCs w:val="24"/>
              </w:rPr>
              <w:t>年版》开设，</w:t>
            </w:r>
            <w:r>
              <w:rPr>
                <w:rFonts w:hint="eastAsia" w:ascii="仿宋_GB2312" w:hAnsi="仿宋_GB2312" w:eastAsia="仿宋_GB2312" w:cs="仿宋_GB2312"/>
                <w:sz w:val="24"/>
                <w:szCs w:val="24"/>
              </w:rPr>
              <w:t>落实</w:t>
            </w:r>
            <w:r>
              <w:rPr>
                <w:rFonts w:hint="eastAsia" w:ascii="仿宋_GB2312" w:hAnsi="仿宋_GB2312" w:eastAsia="仿宋_GB2312" w:cs="仿宋_GB2312"/>
                <w:spacing w:val="-8"/>
                <w:sz w:val="24"/>
                <w:szCs w:val="24"/>
              </w:rPr>
              <w:t>立德树人，聚焦数学运算、直观想象、逻辑推理、数学抽象、</w:t>
            </w:r>
            <w:r>
              <w:rPr>
                <w:rFonts w:hint="eastAsia" w:ascii="仿宋_GB2312" w:hAnsi="仿宋_GB2312" w:eastAsia="仿宋_GB2312" w:cs="仿宋_GB2312"/>
                <w:spacing w:val="-11"/>
                <w:sz w:val="24"/>
                <w:szCs w:val="24"/>
              </w:rPr>
              <w:t>数据分析、数学建模等核心素养，突出学生的主体地位，改进</w:t>
            </w:r>
            <w:r>
              <w:rPr>
                <w:rFonts w:hint="eastAsia" w:ascii="仿宋_GB2312" w:hAnsi="仿宋_GB2312" w:eastAsia="仿宋_GB2312" w:cs="仿宋_GB2312"/>
                <w:spacing w:val="-21"/>
                <w:sz w:val="24"/>
                <w:szCs w:val="24"/>
              </w:rPr>
              <w:t>教学方式，体现职教特色，注重实践应用，充分利用信息技术，</w:t>
            </w:r>
            <w:r>
              <w:rPr>
                <w:rFonts w:hint="eastAsia" w:ascii="仿宋_GB2312" w:hAnsi="仿宋_GB2312" w:eastAsia="仿宋_GB2312" w:cs="仿宋_GB2312"/>
                <w:sz w:val="24"/>
                <w:szCs w:val="24"/>
              </w:rPr>
              <w:t>提高教学效果。</w:t>
            </w:r>
          </w:p>
        </w:tc>
        <w:tc>
          <w:tcPr>
            <w:tcW w:w="1245"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69"/>
              <w:ind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bl>
    <w:p>
      <w:pPr>
        <w:pStyle w:val="2"/>
        <w:spacing w:line="480" w:lineRule="exact"/>
        <w:ind w:left="0"/>
        <w:rPr>
          <w:rFonts w:ascii="仿宋_GB2312" w:hAnsi="仿宋_GB2312" w:eastAsia="仿宋_GB2312" w:cs="仿宋_GB2312"/>
          <w:b/>
          <w:bCs/>
          <w:sz w:val="30"/>
          <w:szCs w:val="30"/>
        </w:rPr>
        <w:sectPr>
          <w:footerReference r:id="rId4" w:type="default"/>
          <w:pgSz w:w="11910" w:h="16840"/>
          <w:pgMar w:top="1440" w:right="1803" w:bottom="1440" w:left="1803" w:header="0" w:footer="913" w:gutter="0"/>
          <w:pgNumType w:start="1"/>
          <w:cols w:space="720" w:num="1"/>
        </w:sectPr>
      </w:pPr>
    </w:p>
    <w:p>
      <w:pPr>
        <w:pStyle w:val="11"/>
        <w:tabs>
          <w:tab w:val="left" w:pos="1854"/>
        </w:tabs>
        <w:spacing w:line="520" w:lineRule="exact"/>
        <w:ind w:left="0" w:firstLine="0"/>
        <w:rPr>
          <w:rFonts w:ascii="仿宋_GB2312" w:hAnsi="仿宋_GB2312" w:eastAsia="仿宋_GB2312" w:cs="仿宋_GB2312"/>
          <w:sz w:val="30"/>
          <w:szCs w:val="30"/>
        </w:rPr>
      </w:pP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506"/>
        <w:gridCol w:w="6579"/>
        <w:gridCol w:w="1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jc w:val="center"/>
        </w:trPr>
        <w:tc>
          <w:tcPr>
            <w:tcW w:w="534" w:type="dxa"/>
            <w:shd w:val="clear" w:color="auto" w:fill="auto"/>
          </w:tcPr>
          <w:p>
            <w:pPr>
              <w:pStyle w:val="10"/>
              <w:spacing w:before="18" w:line="400" w:lineRule="atLeast"/>
              <w:ind w:left="147" w:right="134"/>
              <w:rPr>
                <w:rFonts w:ascii="仿宋_GB2312" w:hAnsi="仿宋_GB2312" w:eastAsia="仿宋_GB2312" w:cs="仿宋_GB2312"/>
                <w:sz w:val="28"/>
                <w:szCs w:val="28"/>
              </w:rPr>
            </w:pPr>
            <w:bookmarkStart w:id="9" w:name="（6）树立正确的就业观，掌握基本的就业和创业知识。"/>
            <w:bookmarkEnd w:id="9"/>
            <w:bookmarkStart w:id="10" w:name="1.素质"/>
            <w:bookmarkEnd w:id="10"/>
            <w:r>
              <w:rPr>
                <w:rFonts w:hint="eastAsia" w:ascii="仿宋_GB2312" w:hAnsi="仿宋_GB2312" w:eastAsia="仿宋_GB2312" w:cs="仿宋_GB2312"/>
                <w:sz w:val="28"/>
                <w:szCs w:val="28"/>
              </w:rPr>
              <w:t>序号</w:t>
            </w:r>
          </w:p>
        </w:tc>
        <w:tc>
          <w:tcPr>
            <w:tcW w:w="1506" w:type="dxa"/>
            <w:shd w:val="clear" w:color="auto" w:fill="auto"/>
          </w:tcPr>
          <w:p>
            <w:pPr>
              <w:pStyle w:val="10"/>
              <w:spacing w:before="2"/>
              <w:rPr>
                <w:rFonts w:ascii="仿宋_GB2312" w:hAnsi="仿宋_GB2312" w:eastAsia="仿宋_GB2312" w:cs="仿宋_GB2312"/>
                <w:sz w:val="28"/>
                <w:szCs w:val="28"/>
              </w:rPr>
            </w:pPr>
          </w:p>
          <w:p>
            <w:pPr>
              <w:pStyle w:val="10"/>
              <w:ind w:left="115" w:right="105"/>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579" w:type="dxa"/>
            <w:shd w:val="clear" w:color="auto" w:fill="auto"/>
          </w:tcPr>
          <w:p>
            <w:pPr>
              <w:pStyle w:val="10"/>
              <w:spacing w:before="2"/>
              <w:rPr>
                <w:rFonts w:ascii="仿宋_GB2312" w:hAnsi="仿宋_GB2312" w:eastAsia="仿宋_GB2312" w:cs="仿宋_GB2312"/>
                <w:sz w:val="28"/>
                <w:szCs w:val="28"/>
              </w:rPr>
            </w:pPr>
          </w:p>
          <w:p>
            <w:pPr>
              <w:pStyle w:val="10"/>
              <w:ind w:left="1848"/>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233" w:type="dxa"/>
            <w:shd w:val="clear" w:color="auto" w:fill="auto"/>
          </w:tcPr>
          <w:p>
            <w:pPr>
              <w:pStyle w:val="10"/>
              <w:spacing w:line="520" w:lineRule="exact"/>
              <w:ind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参考</w:t>
            </w:r>
          </w:p>
          <w:p>
            <w:pPr>
              <w:pStyle w:val="10"/>
              <w:ind w:left="114" w:right="108"/>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8" w:hRule="atLeast"/>
          <w:jc w:val="center"/>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1"/>
              <w:rPr>
                <w:rFonts w:ascii="仿宋_GB2312" w:hAnsi="仿宋_GB2312" w:eastAsia="仿宋_GB2312" w:cs="仿宋_GB2312"/>
                <w:sz w:val="24"/>
                <w:szCs w:val="24"/>
              </w:rPr>
            </w:pPr>
          </w:p>
          <w:p>
            <w:pPr>
              <w:pStyle w:val="10"/>
              <w:spacing w:before="1"/>
              <w:ind w:right="21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1"/>
              <w:rPr>
                <w:rFonts w:ascii="仿宋_GB2312" w:hAnsi="仿宋_GB2312" w:eastAsia="仿宋_GB2312" w:cs="仿宋_GB2312"/>
                <w:sz w:val="24"/>
                <w:szCs w:val="24"/>
              </w:rPr>
            </w:pPr>
          </w:p>
          <w:p>
            <w:pPr>
              <w:pStyle w:val="10"/>
              <w:spacing w:before="1"/>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英语</w:t>
            </w:r>
          </w:p>
        </w:tc>
        <w:tc>
          <w:tcPr>
            <w:tcW w:w="6579" w:type="dxa"/>
          </w:tcPr>
          <w:p>
            <w:pPr>
              <w:pStyle w:val="10"/>
              <w:spacing w:before="135" w:line="312" w:lineRule="auto"/>
              <w:ind w:left="128" w:right="141" w:firstLine="468"/>
              <w:jc w:val="both"/>
              <w:rPr>
                <w:rFonts w:ascii="仿宋_GB2312" w:hAnsi="仿宋_GB2312" w:eastAsia="仿宋_GB2312" w:cs="仿宋_GB2312"/>
                <w:sz w:val="24"/>
                <w:szCs w:val="24"/>
              </w:rPr>
            </w:pPr>
            <w:r>
              <w:rPr>
                <w:rFonts w:hint="eastAsia" w:ascii="仿宋_GB2312" w:hAnsi="仿宋_GB2312" w:eastAsia="仿宋_GB2312" w:cs="仿宋_GB2312"/>
                <w:spacing w:val="-16"/>
                <w:sz w:val="24"/>
                <w:szCs w:val="24"/>
              </w:rPr>
              <w:t xml:space="preserve">依据《中等职业学校英语课程标准 </w:t>
            </w:r>
            <w:r>
              <w:rPr>
                <w:rFonts w:hint="eastAsia" w:ascii="仿宋_GB2312" w:hAnsi="仿宋_GB2312" w:eastAsia="仿宋_GB2312" w:cs="仿宋_GB2312"/>
                <w:sz w:val="24"/>
                <w:szCs w:val="24"/>
              </w:rPr>
              <w:t>2020</w:t>
            </w:r>
            <w:r>
              <w:rPr>
                <w:rFonts w:hint="eastAsia" w:ascii="仿宋_GB2312" w:hAnsi="仿宋_GB2312" w:eastAsia="仿宋_GB2312" w:cs="仿宋_GB2312"/>
                <w:spacing w:val="-27"/>
                <w:sz w:val="24"/>
                <w:szCs w:val="24"/>
              </w:rPr>
              <w:t xml:space="preserve"> 年版》开设，主要</w:t>
            </w:r>
            <w:r>
              <w:rPr>
                <w:rFonts w:hint="eastAsia" w:ascii="仿宋_GB2312" w:hAnsi="仿宋_GB2312" w:eastAsia="仿宋_GB2312" w:cs="仿宋_GB2312"/>
                <w:spacing w:val="-15"/>
                <w:sz w:val="24"/>
                <w:szCs w:val="24"/>
              </w:rPr>
              <w:t>内容有：主题、语篇类型、语言知识、文化知识、语言技能和</w:t>
            </w:r>
            <w:r>
              <w:rPr>
                <w:rFonts w:hint="eastAsia" w:ascii="仿宋_GB2312" w:hAnsi="仿宋_GB2312" w:eastAsia="仿宋_GB2312" w:cs="仿宋_GB2312"/>
                <w:spacing w:val="-12"/>
                <w:sz w:val="24"/>
                <w:szCs w:val="24"/>
              </w:rPr>
              <w:t>语言策略。帮助学生进一步学习语言基础知识和基本技能，发</w:t>
            </w:r>
            <w:r>
              <w:rPr>
                <w:rFonts w:hint="eastAsia" w:ascii="仿宋_GB2312" w:hAnsi="仿宋_GB2312" w:eastAsia="仿宋_GB2312" w:cs="仿宋_GB2312"/>
                <w:sz w:val="24"/>
                <w:szCs w:val="24"/>
              </w:rPr>
              <w:t>展英语学科核心素养，为学生的职业生涯、继续学习和终身发展奠定基础。</w:t>
            </w:r>
          </w:p>
        </w:tc>
        <w:tc>
          <w:tcPr>
            <w:tcW w:w="123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1"/>
              <w:rPr>
                <w:rFonts w:ascii="仿宋_GB2312" w:hAnsi="仿宋_GB2312" w:eastAsia="仿宋_GB2312" w:cs="仿宋_GB2312"/>
                <w:sz w:val="24"/>
                <w:szCs w:val="24"/>
              </w:rPr>
            </w:pPr>
          </w:p>
          <w:p>
            <w:pPr>
              <w:pStyle w:val="10"/>
              <w:spacing w:before="1"/>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jc w:val="center"/>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ind w:right="21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7"/>
              <w:rPr>
                <w:rFonts w:ascii="仿宋_GB2312" w:hAnsi="仿宋_GB2312" w:eastAsia="仿宋_GB2312" w:cs="仿宋_GB2312"/>
                <w:sz w:val="24"/>
                <w:szCs w:val="24"/>
              </w:rPr>
            </w:pPr>
          </w:p>
          <w:p>
            <w:pPr>
              <w:pStyle w:val="10"/>
              <w:spacing w:before="1" w:line="312" w:lineRule="auto"/>
              <w:ind w:left="494" w:right="159" w:hanging="360"/>
              <w:jc w:val="center"/>
              <w:rPr>
                <w:rFonts w:ascii="仿宋_GB2312" w:hAnsi="仿宋_GB2312" w:eastAsia="仿宋_GB2312" w:cs="仿宋_GB2312"/>
                <w:sz w:val="24"/>
                <w:szCs w:val="24"/>
              </w:rPr>
            </w:pPr>
            <w:r>
              <w:rPr>
                <w:rFonts w:hint="eastAsia" w:ascii="仿宋_GB2312" w:hAnsi="仿宋_GB2312" w:eastAsia="仿宋_GB2312" w:cs="仿宋_GB2312"/>
                <w:spacing w:val="-1"/>
                <w:sz w:val="24"/>
                <w:szCs w:val="24"/>
              </w:rPr>
              <w:t>信息技术</w:t>
            </w:r>
          </w:p>
        </w:tc>
        <w:tc>
          <w:tcPr>
            <w:tcW w:w="6579" w:type="dxa"/>
          </w:tcPr>
          <w:p>
            <w:pPr>
              <w:pStyle w:val="10"/>
              <w:spacing w:before="154" w:line="312" w:lineRule="auto"/>
              <w:ind w:left="128" w:right="26" w:firstLine="468"/>
              <w:rPr>
                <w:rFonts w:ascii="仿宋_GB2312" w:hAnsi="仿宋_GB2312" w:eastAsia="仿宋_GB2312" w:cs="仿宋_GB2312"/>
                <w:sz w:val="24"/>
                <w:szCs w:val="24"/>
              </w:rPr>
            </w:pPr>
            <w:r>
              <w:rPr>
                <w:rFonts w:hint="eastAsia" w:ascii="仿宋_GB2312" w:hAnsi="仿宋_GB2312" w:eastAsia="仿宋_GB2312" w:cs="仿宋_GB2312"/>
                <w:spacing w:val="-12"/>
                <w:sz w:val="24"/>
                <w:szCs w:val="24"/>
              </w:rPr>
              <w:t xml:space="preserve">依据《中等职业学校信息技术课程标准 </w:t>
            </w:r>
            <w:r>
              <w:rPr>
                <w:rFonts w:hint="eastAsia" w:ascii="仿宋_GB2312" w:hAnsi="仿宋_GB2312" w:eastAsia="仿宋_GB2312" w:cs="仿宋_GB2312"/>
                <w:sz w:val="24"/>
                <w:szCs w:val="24"/>
              </w:rPr>
              <w:t>2020</w:t>
            </w:r>
            <w:r>
              <w:rPr>
                <w:rFonts w:hint="eastAsia" w:ascii="仿宋_GB2312" w:hAnsi="仿宋_GB2312" w:eastAsia="仿宋_GB2312" w:cs="仿宋_GB2312"/>
                <w:spacing w:val="-21"/>
                <w:sz w:val="24"/>
                <w:szCs w:val="24"/>
              </w:rPr>
              <w:t xml:space="preserve"> 年版》开设，内容有：信息技术应用基础、网络应用、图文编辑、数据处理、</w:t>
            </w:r>
            <w:r>
              <w:rPr>
                <w:rFonts w:hint="eastAsia" w:ascii="仿宋_GB2312" w:hAnsi="仿宋_GB2312" w:eastAsia="仿宋_GB2312" w:cs="仿宋_GB2312"/>
                <w:spacing w:val="-12"/>
                <w:sz w:val="24"/>
                <w:szCs w:val="24"/>
              </w:rPr>
              <w:t>程序设计入门、数字媒体技术应用、信息安全基础、人工智能初步。学生通过对信息技术基础知识与技能的学习，有助于增强信息意识、发展计算思维、提高数字化学习与创新能力、树</w:t>
            </w:r>
            <w:r>
              <w:rPr>
                <w:rFonts w:hint="eastAsia" w:ascii="仿宋_GB2312" w:hAnsi="仿宋_GB2312" w:eastAsia="仿宋_GB2312" w:cs="仿宋_GB2312"/>
                <w:spacing w:val="-16"/>
                <w:sz w:val="24"/>
                <w:szCs w:val="24"/>
              </w:rPr>
              <w:t>立正确的信息社会价值观和责任感。</w:t>
            </w:r>
          </w:p>
        </w:tc>
        <w:tc>
          <w:tcPr>
            <w:tcW w:w="123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
              <w:rPr>
                <w:rFonts w:ascii="仿宋_GB2312" w:hAnsi="仿宋_GB2312" w:eastAsia="仿宋_GB2312" w:cs="仿宋_GB2312"/>
                <w:sz w:val="24"/>
                <w:szCs w:val="24"/>
              </w:rPr>
            </w:pPr>
          </w:p>
          <w:p>
            <w:pPr>
              <w:pStyle w:val="10"/>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7" w:hRule="atLeast"/>
          <w:jc w:val="center"/>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
              <w:rPr>
                <w:rFonts w:ascii="仿宋_GB2312" w:hAnsi="仿宋_GB2312" w:eastAsia="仿宋_GB2312" w:cs="仿宋_GB2312"/>
                <w:sz w:val="24"/>
                <w:szCs w:val="24"/>
              </w:rPr>
            </w:pPr>
          </w:p>
          <w:p>
            <w:pPr>
              <w:pStyle w:val="10"/>
              <w:ind w:right="15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
              <w:rPr>
                <w:rFonts w:ascii="仿宋_GB2312" w:hAnsi="仿宋_GB2312" w:eastAsia="仿宋_GB2312" w:cs="仿宋_GB2312"/>
                <w:sz w:val="24"/>
                <w:szCs w:val="24"/>
              </w:rPr>
            </w:pPr>
          </w:p>
          <w:p>
            <w:pPr>
              <w:pStyle w:val="10"/>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体育与健康</w:t>
            </w:r>
          </w:p>
        </w:tc>
        <w:tc>
          <w:tcPr>
            <w:tcW w:w="6579" w:type="dxa"/>
          </w:tcPr>
          <w:p>
            <w:pPr>
              <w:pStyle w:val="10"/>
              <w:spacing w:before="141" w:line="312" w:lineRule="auto"/>
              <w:ind w:left="128" w:right="21" w:firstLine="453"/>
              <w:rPr>
                <w:rFonts w:ascii="仿宋_GB2312" w:hAnsi="仿宋_GB2312" w:eastAsia="仿宋_GB2312" w:cs="仿宋_GB2312"/>
                <w:sz w:val="24"/>
                <w:szCs w:val="24"/>
              </w:rPr>
            </w:pPr>
            <w:r>
              <w:rPr>
                <w:rFonts w:hint="eastAsia" w:ascii="仿宋_GB2312" w:hAnsi="仿宋_GB2312" w:eastAsia="仿宋_GB2312" w:cs="仿宋_GB2312"/>
                <w:spacing w:val="-20"/>
                <w:sz w:val="24"/>
                <w:szCs w:val="24"/>
              </w:rPr>
              <w:t xml:space="preserve">依据《中等职业学校体育与健康课程标准 </w:t>
            </w:r>
            <w:r>
              <w:rPr>
                <w:rFonts w:hint="eastAsia" w:ascii="仿宋_GB2312" w:hAnsi="仿宋_GB2312" w:eastAsia="仿宋_GB2312" w:cs="仿宋_GB2312"/>
                <w:spacing w:val="-3"/>
                <w:sz w:val="24"/>
                <w:szCs w:val="24"/>
              </w:rPr>
              <w:t>2020</w:t>
            </w:r>
            <w:r>
              <w:rPr>
                <w:rFonts w:hint="eastAsia" w:ascii="仿宋_GB2312" w:hAnsi="仿宋_GB2312" w:eastAsia="仿宋_GB2312" w:cs="仿宋_GB2312"/>
                <w:spacing w:val="-29"/>
                <w:sz w:val="24"/>
                <w:szCs w:val="24"/>
              </w:rPr>
              <w:t xml:space="preserve"> 年版》开设，</w:t>
            </w:r>
            <w:r>
              <w:rPr>
                <w:rFonts w:hint="eastAsia" w:ascii="仿宋_GB2312" w:hAnsi="仿宋_GB2312" w:eastAsia="仿宋_GB2312" w:cs="仿宋_GB2312"/>
                <w:spacing w:val="-20"/>
                <w:sz w:val="24"/>
                <w:szCs w:val="24"/>
              </w:rPr>
              <w:t>内容有：健康教育；体育知识的掌握和体育文化的传承；篮球、</w:t>
            </w:r>
            <w:r>
              <w:rPr>
                <w:rFonts w:hint="eastAsia" w:ascii="仿宋_GB2312" w:hAnsi="仿宋_GB2312" w:eastAsia="仿宋_GB2312" w:cs="仿宋_GB2312"/>
                <w:spacing w:val="-10"/>
                <w:sz w:val="24"/>
                <w:szCs w:val="24"/>
              </w:rPr>
              <w:t>气排球、足球、羽毛球、乒乓球、武术、健美操等运动项目其</w:t>
            </w:r>
            <w:r>
              <w:rPr>
                <w:rFonts w:hint="eastAsia" w:ascii="仿宋_GB2312" w:hAnsi="仿宋_GB2312" w:eastAsia="仿宋_GB2312" w:cs="仿宋_GB2312"/>
                <w:spacing w:val="14"/>
                <w:sz w:val="24"/>
                <w:szCs w:val="24"/>
              </w:rPr>
              <w:t>中</w:t>
            </w:r>
            <w:r>
              <w:rPr>
                <w:rFonts w:hint="eastAsia" w:ascii="仿宋_GB2312" w:hAnsi="仿宋_GB2312" w:eastAsia="仿宋_GB2312" w:cs="仿宋_GB2312"/>
                <w:sz w:val="24"/>
                <w:szCs w:val="24"/>
              </w:rPr>
              <w:t>2</w:t>
            </w:r>
            <w:r>
              <w:rPr>
                <w:rFonts w:hint="eastAsia" w:ascii="仿宋_GB2312" w:hAnsi="仿宋_GB2312" w:eastAsia="仿宋_GB2312" w:cs="仿宋_GB2312"/>
                <w:spacing w:val="-32"/>
                <w:sz w:val="24"/>
                <w:szCs w:val="24"/>
              </w:rPr>
              <w:t xml:space="preserve"> 项运动技能的理论与实践；一般体能、职业体能、专项体能的</w:t>
            </w:r>
            <w:r>
              <w:rPr>
                <w:rFonts w:hint="eastAsia" w:ascii="仿宋_GB2312" w:hAnsi="仿宋_GB2312" w:eastAsia="仿宋_GB2312" w:cs="仿宋_GB2312"/>
                <w:sz w:val="24"/>
                <w:szCs w:val="24"/>
              </w:rPr>
              <w:t>发展。注重培养学生的体育与健康学科核心素养和促进学生身心健康发展,成为德智体美劳全面发展的高素质劳动者和技术技能人才，使学生在运动能力、健康行为和体育精神三方面获得全面发展。</w:t>
            </w:r>
          </w:p>
        </w:tc>
        <w:tc>
          <w:tcPr>
            <w:tcW w:w="123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
              <w:rPr>
                <w:rFonts w:ascii="仿宋_GB2312" w:hAnsi="仿宋_GB2312" w:eastAsia="仿宋_GB2312" w:cs="仿宋_GB2312"/>
                <w:sz w:val="24"/>
                <w:szCs w:val="24"/>
              </w:rPr>
            </w:pPr>
          </w:p>
          <w:p>
            <w:pPr>
              <w:pStyle w:val="10"/>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0" w:hRule="atLeast"/>
          <w:jc w:val="center"/>
        </w:trPr>
        <w:tc>
          <w:tcPr>
            <w:tcW w:w="534"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05"/>
              <w:ind w:right="15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1506"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05"/>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劳动教育</w:t>
            </w:r>
          </w:p>
        </w:tc>
        <w:tc>
          <w:tcPr>
            <w:tcW w:w="6579" w:type="dxa"/>
          </w:tcPr>
          <w:p>
            <w:pPr>
              <w:pStyle w:val="10"/>
              <w:spacing w:before="142" w:line="312" w:lineRule="auto"/>
              <w:ind w:left="128" w:right="33" w:firstLine="480"/>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依据《中等职业学校劳动教育课程标准》开设，主要开设理论课和实践课，通过劳动教育，使学生能够正确理解和</w:t>
            </w:r>
            <w:r>
              <w:rPr>
                <w:rFonts w:hint="eastAsia" w:ascii="仿宋_GB2312" w:hAnsi="仿宋_GB2312" w:eastAsia="仿宋_GB2312" w:cs="仿宋_GB2312"/>
                <w:spacing w:val="-3"/>
                <w:sz w:val="24"/>
                <w:szCs w:val="24"/>
              </w:rPr>
              <w:t>形成马克思主义劳动观，牢固树立劳动最光荣、劳动最崇尚、</w:t>
            </w:r>
            <w:r>
              <w:rPr>
                <w:rFonts w:hint="eastAsia" w:ascii="仿宋_GB2312" w:hAnsi="仿宋_GB2312" w:eastAsia="仿宋_GB2312" w:cs="仿宋_GB2312"/>
                <w:sz w:val="24"/>
                <w:szCs w:val="24"/>
              </w:rPr>
              <w:t>劳动最伟大、劳动最美丽的劳动观念，促进学生体会劳动，创造美好生活；体会劳动不分贵贱，热爱劳动，尊重普通劳动者。培养勤俭、奋斗、创新、奉献的劳动精神，为学生具备满足生存发展需要的基本劳动能力和形成良好劳动习惯奠定基础，培养德智体美劳全面发展的社会主义建设者和接班人。</w:t>
            </w:r>
          </w:p>
        </w:tc>
        <w:tc>
          <w:tcPr>
            <w:tcW w:w="123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05"/>
              <w:ind w:left="64"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2" w:hRule="atLeast"/>
          <w:jc w:val="center"/>
        </w:trPr>
        <w:tc>
          <w:tcPr>
            <w:tcW w:w="534" w:type="dxa"/>
          </w:tcPr>
          <w:p>
            <w:pPr>
              <w:pStyle w:val="10"/>
              <w:rPr>
                <w:rFonts w:ascii="仿宋_GB2312" w:hAnsi="仿宋_GB2312" w:eastAsia="仿宋_GB2312" w:cs="仿宋_GB2312"/>
                <w:sz w:val="24"/>
                <w:szCs w:val="24"/>
              </w:rPr>
            </w:pPr>
          </w:p>
          <w:p>
            <w:pPr>
              <w:pStyle w:val="10"/>
              <w:spacing w:before="3"/>
              <w:rPr>
                <w:rFonts w:ascii="仿宋_GB2312" w:hAnsi="仿宋_GB2312" w:eastAsia="仿宋_GB2312" w:cs="仿宋_GB2312"/>
                <w:sz w:val="24"/>
                <w:szCs w:val="24"/>
              </w:rPr>
            </w:pPr>
          </w:p>
          <w:p>
            <w:pPr>
              <w:pStyle w:val="10"/>
              <w:ind w:right="153"/>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506" w:type="dxa"/>
          </w:tcPr>
          <w:p>
            <w:pPr>
              <w:pStyle w:val="10"/>
              <w:rPr>
                <w:rFonts w:ascii="仿宋_GB2312" w:hAnsi="仿宋_GB2312" w:eastAsia="仿宋_GB2312" w:cs="仿宋_GB2312"/>
                <w:sz w:val="24"/>
                <w:szCs w:val="24"/>
              </w:rPr>
            </w:pPr>
          </w:p>
          <w:p>
            <w:pPr>
              <w:pStyle w:val="10"/>
              <w:spacing w:before="3"/>
              <w:rPr>
                <w:rFonts w:ascii="仿宋_GB2312" w:hAnsi="仿宋_GB2312" w:eastAsia="仿宋_GB2312" w:cs="仿宋_GB2312"/>
                <w:sz w:val="24"/>
                <w:szCs w:val="24"/>
              </w:rPr>
            </w:pPr>
          </w:p>
          <w:p>
            <w:pPr>
              <w:pStyle w:val="10"/>
              <w:ind w:left="115" w:right="14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艺术</w:t>
            </w:r>
          </w:p>
        </w:tc>
        <w:tc>
          <w:tcPr>
            <w:tcW w:w="6579" w:type="dxa"/>
          </w:tcPr>
          <w:p>
            <w:pPr>
              <w:pStyle w:val="10"/>
              <w:spacing w:before="192" w:line="312" w:lineRule="auto"/>
              <w:ind w:left="128" w:right="153" w:firstLine="48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依据《中等职业学校艺术课程标准》开设，通过艺术作品欣赏和艺术实践活动，使学生掌握艺术作品和创作艺术作品的基本方法，学会结合专业，提高学生艺术鉴赏能力。</w:t>
            </w:r>
          </w:p>
        </w:tc>
        <w:tc>
          <w:tcPr>
            <w:tcW w:w="1233" w:type="dxa"/>
          </w:tcPr>
          <w:p>
            <w:pPr>
              <w:pStyle w:val="10"/>
              <w:rPr>
                <w:rFonts w:ascii="仿宋_GB2312" w:hAnsi="仿宋_GB2312" w:eastAsia="仿宋_GB2312" w:cs="仿宋_GB2312"/>
                <w:sz w:val="24"/>
                <w:szCs w:val="24"/>
              </w:rPr>
            </w:pPr>
          </w:p>
          <w:p>
            <w:pPr>
              <w:pStyle w:val="10"/>
              <w:spacing w:before="3"/>
              <w:rPr>
                <w:rFonts w:ascii="仿宋_GB2312" w:hAnsi="仿宋_GB2312" w:eastAsia="仿宋_GB2312" w:cs="仿宋_GB2312"/>
                <w:sz w:val="24"/>
                <w:szCs w:val="24"/>
              </w:rPr>
            </w:pPr>
          </w:p>
          <w:p>
            <w:pPr>
              <w:pStyle w:val="10"/>
              <w:ind w:left="83" w:right="10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36</w:t>
            </w:r>
          </w:p>
        </w:tc>
      </w:tr>
    </w:tbl>
    <w:p>
      <w:pPr>
        <w:jc w:val="center"/>
        <w:rPr>
          <w:rFonts w:ascii="仿宋_GB2312" w:hAnsi="仿宋_GB2312" w:eastAsia="仿宋_GB2312" w:cs="仿宋_GB2312"/>
          <w:sz w:val="24"/>
          <w:szCs w:val="24"/>
        </w:rPr>
      </w:pPr>
    </w:p>
    <w:p>
      <w:pPr>
        <w:pStyle w:val="2"/>
        <w:numPr>
          <w:ilvl w:val="0"/>
          <w:numId w:val="2"/>
        </w:numPr>
        <w:spacing w:before="32"/>
        <w:ind w:left="0" w:firstLine="682" w:firstLineChars="200"/>
        <w:rPr>
          <w:rFonts w:ascii="仿宋_GB2312" w:hAnsi="仿宋_GB2312" w:eastAsia="仿宋_GB2312" w:cs="仿宋_GB2312"/>
          <w:b/>
          <w:bCs/>
          <w:spacing w:val="20"/>
          <w:w w:val="95"/>
          <w:sz w:val="30"/>
          <w:szCs w:val="30"/>
        </w:rPr>
      </w:pPr>
      <w:r>
        <w:rPr>
          <w:rFonts w:ascii="仿宋_GB2312" w:hAnsi="仿宋_GB2312" w:eastAsia="仿宋_GB2312" w:cs="仿宋_GB2312"/>
          <w:b/>
          <w:bCs/>
          <w:spacing w:val="20"/>
          <w:sz w:val="30"/>
          <w:szCs w:val="30"/>
        </w:rPr>
        <w:pict>
          <v:shape id="_x0000_s1026" o:spid="_x0000_s1026" o:spt="202" type="#_x0000_t202" style="position:absolute;left:0pt;flip:x;margin-left:600.8pt;margin-top:828.65pt;height:424.3pt;width:260.05pt;mso-position-horizontal-relative:page;z-index:251660288;mso-width-relative:page;mso-height-relative:page;" filled="f" stroked="f" coordsize="21600,21600" o:gfxdata="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WErtdwAAAAPAQAADwAAAAAAAAABACAAAAAiAAAAZHJzL2Rv&#10;d25yZXYueG1sUEsBAhQAFAAAAAgAh07iQHrtrgDEAQAAfQMAAA4AAAAAAAAAAQAgAAAAKwEAAGRy&#10;cy9lMm9Eb2MueG1sUEsFBgAAAAAGAAYAWQEAAGEFAAAAAA==&#10;">
            <v:path/>
            <v:fill on="f" focussize="0,0"/>
            <v:stroke on="f" joinstyle="miter"/>
            <v:imagedata o:title=""/>
            <o:lock v:ext="edit"/>
            <v:textbox inset="0mm,0mm,0mm,0mm">
              <w:txbxContent>
                <w:p>
                  <w:pPr>
                    <w:pStyle w:val="2"/>
                    <w:ind w:left="0"/>
                  </w:pPr>
                </w:p>
              </w:txbxContent>
            </v:textbox>
          </v:shape>
        </w:pict>
      </w:r>
      <w:r>
        <w:rPr>
          <w:rFonts w:hint="eastAsia" w:ascii="仿宋_GB2312" w:hAnsi="仿宋_GB2312" w:eastAsia="仿宋_GB2312" w:cs="仿宋_GB2312"/>
          <w:b/>
          <w:bCs/>
          <w:spacing w:val="20"/>
          <w:w w:val="95"/>
          <w:sz w:val="30"/>
          <w:szCs w:val="30"/>
        </w:rPr>
        <w:t>专业（技能）课程</w:t>
      </w:r>
      <w:bookmarkStart w:id="11" w:name="1.专业核心课"/>
      <w:bookmarkEnd w:id="11"/>
      <w:bookmarkStart w:id="12" w:name="专业（技能）课程包括：专业核心课、专业方向课和专业选修课。"/>
      <w:bookmarkEnd w:id="12"/>
    </w:p>
    <w:tbl>
      <w:tblPr>
        <w:tblStyle w:val="8"/>
        <w:tblpPr w:leftFromText="180" w:rightFromText="180" w:vertAnchor="text" w:horzAnchor="page" w:tblpX="1159" w:tblpY="276"/>
        <w:tblOverlap w:val="never"/>
        <w:tblW w:w="9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3"/>
        <w:gridCol w:w="1466"/>
        <w:gridCol w:w="6584"/>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45" w:hRule="atLeast"/>
        </w:trPr>
        <w:tc>
          <w:tcPr>
            <w:tcW w:w="553" w:type="dxa"/>
            <w:shd w:val="clear" w:color="auto" w:fill="auto"/>
          </w:tcPr>
          <w:p>
            <w:pPr>
              <w:pStyle w:val="10"/>
              <w:spacing w:line="400" w:lineRule="exact"/>
              <w:ind w:left="106" w:right="194"/>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66" w:type="dxa"/>
            <w:shd w:val="clear" w:color="auto" w:fill="auto"/>
          </w:tcPr>
          <w:p>
            <w:pPr>
              <w:pStyle w:val="10"/>
              <w:spacing w:line="580" w:lineRule="exact"/>
              <w:ind w:right="11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课程名称</w:t>
            </w:r>
          </w:p>
        </w:tc>
        <w:tc>
          <w:tcPr>
            <w:tcW w:w="6584" w:type="dxa"/>
            <w:shd w:val="clear" w:color="auto" w:fill="auto"/>
          </w:tcPr>
          <w:p>
            <w:pPr>
              <w:pStyle w:val="10"/>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主要教学目标、内容和要求</w:t>
            </w:r>
          </w:p>
        </w:tc>
        <w:tc>
          <w:tcPr>
            <w:tcW w:w="1283" w:type="dxa"/>
            <w:shd w:val="clear" w:color="auto" w:fill="auto"/>
          </w:tcPr>
          <w:p>
            <w:pPr>
              <w:pStyle w:val="10"/>
              <w:spacing w:line="580" w:lineRule="exact"/>
              <w:ind w:right="148"/>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参考学时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55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p>
            <w:pPr>
              <w:pStyle w:val="10"/>
              <w:spacing w:before="1"/>
              <w:rPr>
                <w:rFonts w:ascii="仿宋_GB2312" w:hAnsi="仿宋_GB2312" w:eastAsia="仿宋_GB2312" w:cs="仿宋_GB2312"/>
                <w:sz w:val="24"/>
                <w:szCs w:val="24"/>
              </w:rPr>
            </w:pPr>
          </w:p>
        </w:tc>
        <w:tc>
          <w:tcPr>
            <w:tcW w:w="1466" w:type="dxa"/>
          </w:tcPr>
          <w:p>
            <w:pPr>
              <w:pStyle w:val="10"/>
              <w:rPr>
                <w:rFonts w:ascii="仿宋_GB2312" w:hAnsi="仿宋_GB2312" w:eastAsia="仿宋_GB2312" w:cs="仿宋_GB2312"/>
                <w:sz w:val="24"/>
                <w:szCs w:val="24"/>
              </w:rPr>
            </w:pPr>
          </w:p>
          <w:p>
            <w:pPr>
              <w:pStyle w:val="2"/>
              <w:spacing w:before="120"/>
              <w:ind w:left="0" w:right="220" w:rightChars="100" w:firstLine="228" w:firstLineChars="100"/>
              <w:rPr>
                <w:rFonts w:ascii="仿宋_GB2312" w:hAnsi="仿宋_GB2312" w:eastAsia="仿宋_GB2312" w:cs="仿宋_GB2312"/>
                <w:w w:val="95"/>
                <w:sz w:val="24"/>
                <w:szCs w:val="24"/>
              </w:rPr>
            </w:pPr>
          </w:p>
          <w:p>
            <w:pPr>
              <w:pStyle w:val="2"/>
              <w:spacing w:before="120"/>
              <w:ind w:left="0" w:right="220" w:rightChars="100" w:firstLine="234" w:firstLineChars="100"/>
              <w:rPr>
                <w:rFonts w:ascii="仿宋_GB2312" w:hAnsi="仿宋_GB2312" w:eastAsia="仿宋_GB2312" w:cs="仿宋_GB2312"/>
                <w:w w:val="95"/>
                <w:sz w:val="24"/>
                <w:szCs w:val="24"/>
              </w:rPr>
            </w:pPr>
            <w:r>
              <w:rPr>
                <w:rFonts w:hint="eastAsia" w:ascii="仿宋_GB2312" w:hAnsi="仿宋_GB2312" w:eastAsia="仿宋_GB2312" w:cs="仿宋_GB2312"/>
                <w:color w:val="221F1F"/>
                <w:spacing w:val="-3"/>
                <w:sz w:val="24"/>
                <w:szCs w:val="24"/>
              </w:rPr>
              <w:t>机械制图</w:t>
            </w:r>
          </w:p>
          <w:p>
            <w:pPr>
              <w:pStyle w:val="10"/>
              <w:spacing w:line="312" w:lineRule="auto"/>
              <w:ind w:left="463" w:right="510"/>
              <w:rPr>
                <w:rFonts w:ascii="仿宋_GB2312" w:hAnsi="仿宋_GB2312" w:eastAsia="仿宋_GB2312" w:cs="仿宋_GB2312"/>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掌握制图投影理论，培养学生具有一定的空间想像和思维能力，了掌握零件图样中所表达的技术要求及信息，为后继学习奠定基础。使学生掌握机械制图的基本知识和有关国家标准。能看懂零件图和中等复杂程度的装配图，并能绘制一般零件图和简单装配图。</w:t>
            </w:r>
          </w:p>
        </w:tc>
        <w:tc>
          <w:tcPr>
            <w:tcW w:w="1283" w:type="dxa"/>
          </w:tcPr>
          <w:p>
            <w:pPr>
              <w:pStyle w:val="10"/>
              <w:rPr>
                <w:rFonts w:ascii="仿宋_GB2312" w:hAnsi="仿宋_GB2312" w:eastAsia="仿宋_GB2312" w:cs="仿宋_GB2312"/>
                <w:sz w:val="24"/>
                <w:szCs w:val="24"/>
              </w:rPr>
            </w:pPr>
          </w:p>
          <w:p>
            <w:pPr>
              <w:pStyle w:val="10"/>
              <w:spacing w:before="4"/>
              <w:rPr>
                <w:rFonts w:ascii="仿宋_GB2312" w:hAnsi="仿宋_GB2312" w:eastAsia="仿宋_GB2312" w:cs="仿宋_GB2312"/>
                <w:sz w:val="24"/>
                <w:szCs w:val="24"/>
              </w:rPr>
            </w:pPr>
          </w:p>
          <w:p>
            <w:pPr>
              <w:pStyle w:val="10"/>
              <w:spacing w:before="1"/>
              <w:ind w:left="125" w:right="148"/>
              <w:jc w:val="center"/>
              <w:rPr>
                <w:rFonts w:ascii="仿宋_GB2312" w:hAnsi="仿宋_GB2312" w:eastAsia="仿宋_GB2312" w:cs="仿宋_GB2312"/>
                <w:sz w:val="24"/>
                <w:szCs w:val="24"/>
              </w:rPr>
            </w:pPr>
          </w:p>
          <w:p>
            <w:pPr>
              <w:pStyle w:val="10"/>
              <w:spacing w:before="1"/>
              <w:ind w:left="125"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5" w:hRule="atLeast"/>
        </w:trPr>
        <w:tc>
          <w:tcPr>
            <w:tcW w:w="55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466" w:type="dxa"/>
          </w:tcPr>
          <w:p>
            <w:pPr>
              <w:pStyle w:val="10"/>
              <w:rPr>
                <w:rFonts w:ascii="仿宋_GB2312" w:hAnsi="仿宋_GB2312" w:eastAsia="仿宋_GB2312" w:cs="仿宋_GB2312"/>
                <w:sz w:val="24"/>
                <w:szCs w:val="24"/>
              </w:rPr>
            </w:pPr>
          </w:p>
          <w:p>
            <w:pPr>
              <w:pStyle w:val="2"/>
              <w:spacing w:before="120"/>
              <w:ind w:left="0" w:right="220" w:rightChars="100" w:firstLine="228" w:firstLineChars="100"/>
              <w:rPr>
                <w:rFonts w:ascii="仿宋_GB2312" w:hAnsi="仿宋_GB2312" w:eastAsia="仿宋_GB2312" w:cs="仿宋_GB2312"/>
                <w:w w:val="95"/>
                <w:sz w:val="24"/>
                <w:szCs w:val="24"/>
              </w:rPr>
            </w:pPr>
          </w:p>
          <w:p>
            <w:pPr>
              <w:pStyle w:val="2"/>
              <w:spacing w:before="120"/>
              <w:ind w:left="0" w:right="220" w:rightChars="100" w:firstLine="234" w:firstLineChars="100"/>
              <w:rPr>
                <w:rFonts w:ascii="仿宋_GB2312" w:hAnsi="仿宋_GB2312" w:eastAsia="仿宋_GB2312" w:cs="仿宋_GB2312"/>
                <w:w w:val="95"/>
                <w:sz w:val="24"/>
                <w:szCs w:val="24"/>
              </w:rPr>
            </w:pPr>
            <w:r>
              <w:rPr>
                <w:rFonts w:hint="eastAsia" w:ascii="仿宋_GB2312" w:hAnsi="仿宋_GB2312" w:eastAsia="仿宋_GB2312" w:cs="仿宋_GB2312"/>
                <w:color w:val="221F1F"/>
                <w:spacing w:val="-3"/>
                <w:sz w:val="24"/>
                <w:szCs w:val="24"/>
              </w:rPr>
              <w:t>机械基础</w:t>
            </w:r>
          </w:p>
          <w:p>
            <w:pPr>
              <w:pStyle w:val="10"/>
              <w:spacing w:line="312" w:lineRule="auto"/>
              <w:ind w:left="460" w:leftChars="100" w:right="510" w:hanging="240" w:hangingChars="100"/>
              <w:rPr>
                <w:rFonts w:ascii="仿宋_GB2312" w:hAnsi="仿宋_GB2312" w:eastAsia="仿宋_GB2312" w:cs="仿宋_GB2312"/>
                <w:sz w:val="24"/>
                <w:szCs w:val="24"/>
              </w:rPr>
            </w:pPr>
          </w:p>
        </w:tc>
        <w:tc>
          <w:tcPr>
            <w:tcW w:w="6584" w:type="dxa"/>
          </w:tcPr>
          <w:p>
            <w:pPr>
              <w:pStyle w:val="2"/>
              <w:spacing w:before="120" w:line="38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主要学习常用机械传动形式、常用机构、轴系零件、液压传动、气压传动。金属材料的性能、铁碳合金、钢的热处理、合金钢、铸铁、有色金属及硬质合金、静力学、材料力学。使学生掌握机械零件和机械传动的工作原理及与相专业有关的解题、运算、绘图、执行国家标准、使用技术资料的技能，初步具有使用和维护一般机械装置的技能。</w:t>
            </w:r>
          </w:p>
        </w:tc>
        <w:tc>
          <w:tcPr>
            <w:tcW w:w="128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1"/>
              <w:rPr>
                <w:rFonts w:ascii="仿宋_GB2312" w:hAnsi="仿宋_GB2312" w:eastAsia="仿宋_GB2312" w:cs="仿宋_GB2312"/>
                <w:sz w:val="24"/>
                <w:szCs w:val="24"/>
              </w:rPr>
            </w:pPr>
          </w:p>
          <w:p>
            <w:pPr>
              <w:pStyle w:val="10"/>
              <w:ind w:left="125"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65" w:hRule="atLeast"/>
        </w:trPr>
        <w:tc>
          <w:tcPr>
            <w:tcW w:w="55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0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466" w:type="dxa"/>
          </w:tcPr>
          <w:p>
            <w:pPr>
              <w:pStyle w:val="10"/>
              <w:spacing w:before="4"/>
              <w:rPr>
                <w:rFonts w:ascii="仿宋_GB2312" w:hAnsi="仿宋_GB2312" w:eastAsia="仿宋_GB2312" w:cs="仿宋_GB2312"/>
                <w:sz w:val="24"/>
                <w:szCs w:val="24"/>
              </w:rPr>
            </w:pPr>
          </w:p>
          <w:p>
            <w:pPr>
              <w:pStyle w:val="10"/>
              <w:spacing w:before="7"/>
              <w:rPr>
                <w:rFonts w:ascii="仿宋_GB2312" w:hAnsi="仿宋_GB2312" w:eastAsia="仿宋_GB2312" w:cs="仿宋_GB2312"/>
                <w:sz w:val="24"/>
                <w:szCs w:val="24"/>
              </w:rPr>
            </w:pPr>
          </w:p>
          <w:p>
            <w:pPr>
              <w:pStyle w:val="2"/>
              <w:spacing w:before="120"/>
              <w:ind w:left="0" w:right="220" w:rightChars="100" w:firstLine="234" w:firstLineChars="10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UG数控</w:t>
            </w:r>
          </w:p>
          <w:p>
            <w:pPr>
              <w:pStyle w:val="2"/>
              <w:spacing w:before="120"/>
              <w:ind w:left="0" w:right="220" w:rightChars="100" w:firstLine="234" w:firstLineChars="10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编程</w:t>
            </w:r>
          </w:p>
          <w:p>
            <w:pPr>
              <w:pStyle w:val="10"/>
              <w:spacing w:line="312" w:lineRule="auto"/>
              <w:ind w:left="475" w:right="258" w:hanging="240"/>
              <w:rPr>
                <w:rFonts w:ascii="仿宋_GB2312" w:hAnsi="仿宋_GB2312" w:eastAsia="仿宋_GB2312" w:cs="仿宋_GB2312"/>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掌握UG软件数控编程的基本操作技能，并掌握数控加工过程的基本规律，掌握其基本知识，能正确选择加工方法与机床、刀具、夹具及加工参数，掌握机械加工精度和表面质量的基本理论和基本知识，使学生具有数控加工工艺设计和夹具设计的基本技能。</w:t>
            </w:r>
          </w:p>
        </w:tc>
        <w:tc>
          <w:tcPr>
            <w:tcW w:w="1283" w:type="dxa"/>
          </w:tcPr>
          <w:p>
            <w:pPr>
              <w:pStyle w:val="10"/>
              <w:rPr>
                <w:rFonts w:ascii="仿宋_GB2312" w:hAnsi="仿宋_GB2312" w:eastAsia="仿宋_GB2312" w:cs="仿宋_GB2312"/>
                <w:sz w:val="24"/>
                <w:szCs w:val="24"/>
              </w:rPr>
            </w:pPr>
          </w:p>
          <w:p>
            <w:pPr>
              <w:pStyle w:val="10"/>
              <w:rPr>
                <w:rFonts w:ascii="仿宋_GB2312" w:hAnsi="仿宋_GB2312" w:eastAsia="仿宋_GB2312" w:cs="仿宋_GB2312"/>
                <w:sz w:val="24"/>
                <w:szCs w:val="24"/>
              </w:rPr>
            </w:pPr>
          </w:p>
          <w:p>
            <w:pPr>
              <w:pStyle w:val="10"/>
              <w:spacing w:before="203"/>
              <w:ind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3" w:hRule="atLeast"/>
        </w:trPr>
        <w:tc>
          <w:tcPr>
            <w:tcW w:w="553" w:type="dxa"/>
          </w:tcPr>
          <w:p>
            <w:pPr>
              <w:pStyle w:val="10"/>
              <w:rPr>
                <w:rFonts w:ascii="仿宋_GB2312" w:hAnsi="仿宋_GB2312" w:eastAsia="仿宋_GB2312" w:cs="仿宋_GB2312"/>
                <w:sz w:val="24"/>
                <w:szCs w:val="24"/>
              </w:rPr>
            </w:pPr>
          </w:p>
          <w:p>
            <w:pPr>
              <w:pStyle w:val="10"/>
              <w:spacing w:before="6"/>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466" w:type="dxa"/>
          </w:tcPr>
          <w:p>
            <w:pPr>
              <w:pStyle w:val="10"/>
              <w:spacing w:before="11"/>
              <w:rPr>
                <w:rFonts w:ascii="仿宋_GB2312" w:hAnsi="仿宋_GB2312" w:eastAsia="仿宋_GB2312" w:cs="仿宋_GB2312"/>
                <w:sz w:val="24"/>
                <w:szCs w:val="24"/>
              </w:rPr>
            </w:pPr>
          </w:p>
          <w:p>
            <w:pPr>
              <w:pStyle w:val="2"/>
              <w:spacing w:before="120"/>
              <w:ind w:right="220" w:rightChars="100"/>
              <w:rPr>
                <w:rFonts w:ascii="仿宋_GB2312" w:hAnsi="仿宋_GB2312" w:eastAsia="仿宋_GB2312" w:cs="仿宋_GB2312"/>
                <w:w w:val="95"/>
                <w:sz w:val="24"/>
                <w:szCs w:val="24"/>
              </w:rPr>
            </w:pPr>
          </w:p>
          <w:p>
            <w:pPr>
              <w:pStyle w:val="2"/>
              <w:spacing w:before="120"/>
              <w:ind w:left="0" w:right="220" w:rightChars="10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MASTERCAM数控编程</w:t>
            </w:r>
          </w:p>
          <w:p>
            <w:pPr>
              <w:pStyle w:val="10"/>
              <w:spacing w:before="1" w:line="355" w:lineRule="auto"/>
              <w:ind w:left="465" w:right="510"/>
              <w:rPr>
                <w:rFonts w:ascii="仿宋_GB2312" w:hAnsi="仿宋_GB2312" w:eastAsia="仿宋_GB2312" w:cs="仿宋_GB2312"/>
                <w:sz w:val="24"/>
                <w:szCs w:val="24"/>
              </w:rPr>
            </w:pPr>
          </w:p>
        </w:tc>
        <w:tc>
          <w:tcPr>
            <w:tcW w:w="6584" w:type="dxa"/>
          </w:tcPr>
          <w:p>
            <w:pPr>
              <w:pStyle w:val="10"/>
              <w:spacing w:before="188" w:line="312" w:lineRule="auto"/>
              <w:ind w:left="127" w:right="146" w:firstLine="442" w:firstLineChars="189"/>
              <w:jc w:val="both"/>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掌握计算机辅助设计与制造的基本理论与技能，掌握目前常用CAD/CAM软件Mastercam的使用，能独立运用Mastercam软件完成中等复杂程度零件的三维构图，具备选择刀具和加工方法、后置处理、生成数控加工程序，并在数控机床上完成零件加工的能力，以及其模具设计与制造过程中的基本方法与技能。</w:t>
            </w:r>
          </w:p>
        </w:tc>
        <w:tc>
          <w:tcPr>
            <w:tcW w:w="1283" w:type="dxa"/>
          </w:tcPr>
          <w:p>
            <w:pPr>
              <w:pStyle w:val="10"/>
              <w:rPr>
                <w:rFonts w:ascii="仿宋_GB2312" w:hAnsi="仿宋_GB2312" w:eastAsia="仿宋_GB2312" w:cs="仿宋_GB2312"/>
                <w:sz w:val="24"/>
                <w:szCs w:val="24"/>
              </w:rPr>
            </w:pPr>
          </w:p>
          <w:p>
            <w:pPr>
              <w:pStyle w:val="10"/>
              <w:spacing w:before="6"/>
              <w:rPr>
                <w:rFonts w:ascii="仿宋_GB2312" w:hAnsi="仿宋_GB2312" w:eastAsia="仿宋_GB2312" w:cs="仿宋_GB2312"/>
                <w:sz w:val="24"/>
                <w:szCs w:val="24"/>
              </w:rPr>
            </w:pPr>
          </w:p>
          <w:p>
            <w:pPr>
              <w:pStyle w:val="10"/>
              <w:ind w:left="125" w:right="148"/>
              <w:jc w:val="center"/>
              <w:rPr>
                <w:rFonts w:ascii="仿宋_GB2312" w:hAnsi="仿宋_GB2312" w:eastAsia="仿宋_GB2312" w:cs="仿宋_GB2312"/>
                <w:sz w:val="24"/>
                <w:szCs w:val="24"/>
              </w:rPr>
            </w:pPr>
          </w:p>
          <w:p>
            <w:pPr>
              <w:pStyle w:val="10"/>
              <w:ind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0" w:hRule="atLeast"/>
        </w:trPr>
        <w:tc>
          <w:tcPr>
            <w:tcW w:w="553" w:type="dxa"/>
          </w:tcPr>
          <w:p>
            <w:pPr>
              <w:pStyle w:val="10"/>
              <w:rPr>
                <w:rFonts w:ascii="仿宋_GB2312" w:hAnsi="仿宋_GB2312" w:eastAsia="仿宋_GB2312" w:cs="仿宋_GB2312"/>
                <w:sz w:val="24"/>
                <w:szCs w:val="24"/>
              </w:rPr>
            </w:pPr>
          </w:p>
          <w:p>
            <w:pPr>
              <w:pStyle w:val="10"/>
              <w:spacing w:before="9"/>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p>
          <w:p>
            <w:pPr>
              <w:pStyle w:val="10"/>
              <w:ind w:left="197"/>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466" w:type="dxa"/>
          </w:tcPr>
          <w:p>
            <w:pPr>
              <w:pStyle w:val="10"/>
              <w:spacing w:before="11"/>
              <w:rPr>
                <w:rFonts w:ascii="仿宋_GB2312" w:hAnsi="仿宋_GB2312" w:eastAsia="仿宋_GB2312" w:cs="仿宋_GB2312"/>
                <w:sz w:val="24"/>
                <w:szCs w:val="24"/>
              </w:rPr>
            </w:pPr>
          </w:p>
          <w:p>
            <w:pPr>
              <w:pStyle w:val="10"/>
              <w:spacing w:before="1" w:line="357" w:lineRule="auto"/>
              <w:ind w:right="268"/>
              <w:rPr>
                <w:rFonts w:ascii="仿宋_GB2312" w:hAnsi="仿宋_GB2312" w:eastAsia="仿宋_GB2312" w:cs="仿宋_GB2312"/>
                <w:sz w:val="24"/>
                <w:szCs w:val="24"/>
              </w:rPr>
            </w:pPr>
          </w:p>
          <w:p>
            <w:pPr>
              <w:pStyle w:val="2"/>
              <w:spacing w:before="120"/>
              <w:ind w:left="0" w:right="220" w:rightChars="100" w:firstLine="234" w:firstLineChars="100"/>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 xml:space="preserve"> 机械CAD</w:t>
            </w:r>
          </w:p>
          <w:p>
            <w:pPr>
              <w:pStyle w:val="10"/>
              <w:spacing w:before="1" w:line="357" w:lineRule="auto"/>
              <w:ind w:right="268" w:firstLine="240" w:firstLineChars="100"/>
              <w:rPr>
                <w:rFonts w:ascii="仿宋_GB2312" w:hAnsi="仿宋_GB2312" w:eastAsia="仿宋_GB2312" w:cs="仿宋_GB2312"/>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主要学习AutoCAD的基础知识，二维图形的绘制、编辑及尺寸标注。了解三维设计的概念及创建三维对象的方法。绘制基本三维对象、绘制三维实体、编辑与渲染三维对象。使学生掌握掌握图块的建立与使用、掌握设计中心的使用。能熟练应用计算绘图软件绘制工程图纸，利用计算机绘图功能找出编程中工件的基点或节点坐标。能够设置布局、打印图形。</w:t>
            </w:r>
          </w:p>
        </w:tc>
        <w:tc>
          <w:tcPr>
            <w:tcW w:w="1283" w:type="dxa"/>
          </w:tcPr>
          <w:p>
            <w:pPr>
              <w:pStyle w:val="10"/>
              <w:rPr>
                <w:rFonts w:ascii="仿宋_GB2312" w:hAnsi="仿宋_GB2312" w:eastAsia="仿宋_GB2312" w:cs="仿宋_GB2312"/>
                <w:sz w:val="24"/>
                <w:szCs w:val="24"/>
              </w:rPr>
            </w:pPr>
          </w:p>
          <w:p>
            <w:pPr>
              <w:pStyle w:val="10"/>
              <w:spacing w:before="6"/>
              <w:rPr>
                <w:rFonts w:ascii="仿宋_GB2312" w:hAnsi="仿宋_GB2312" w:eastAsia="仿宋_GB2312" w:cs="仿宋_GB2312"/>
                <w:sz w:val="24"/>
                <w:szCs w:val="24"/>
              </w:rPr>
            </w:pPr>
          </w:p>
          <w:p>
            <w:pPr>
              <w:pStyle w:val="10"/>
              <w:ind w:left="125" w:right="148"/>
              <w:jc w:val="center"/>
              <w:rPr>
                <w:rFonts w:ascii="仿宋_GB2312" w:hAnsi="仿宋_GB2312" w:eastAsia="仿宋_GB2312" w:cs="仿宋_GB2312"/>
                <w:sz w:val="24"/>
                <w:szCs w:val="24"/>
              </w:rPr>
            </w:pPr>
          </w:p>
          <w:p>
            <w:pPr>
              <w:pStyle w:val="10"/>
              <w:ind w:right="148" w:firstLine="480" w:firstLineChars="200"/>
              <w:jc w:val="both"/>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6" w:hRule="atLeast"/>
        </w:trPr>
        <w:tc>
          <w:tcPr>
            <w:tcW w:w="553" w:type="dxa"/>
          </w:tcPr>
          <w:p>
            <w:pPr>
              <w:pStyle w:val="10"/>
              <w:rPr>
                <w:rFonts w:ascii="仿宋_GB2312" w:hAnsi="仿宋_GB2312" w:eastAsia="仿宋_GB2312" w:cs="仿宋_GB2312"/>
                <w:sz w:val="24"/>
                <w:szCs w:val="24"/>
              </w:rPr>
            </w:pPr>
          </w:p>
          <w:p>
            <w:pPr>
              <w:pStyle w:val="10"/>
              <w:spacing w:before="10"/>
              <w:rPr>
                <w:rFonts w:ascii="仿宋_GB2312" w:hAnsi="仿宋_GB2312" w:eastAsia="仿宋_GB2312" w:cs="仿宋_GB2312"/>
                <w:sz w:val="24"/>
                <w:szCs w:val="24"/>
              </w:rPr>
            </w:pPr>
          </w:p>
          <w:p>
            <w:pPr>
              <w:pStyle w:val="10"/>
              <w:spacing w:before="1"/>
              <w:ind w:left="197"/>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466" w:type="dxa"/>
          </w:tcPr>
          <w:p>
            <w:pPr>
              <w:pStyle w:val="10"/>
              <w:rPr>
                <w:rFonts w:ascii="仿宋_GB2312" w:hAnsi="仿宋_GB2312" w:eastAsia="仿宋_GB2312" w:cs="仿宋_GB2312"/>
                <w:sz w:val="24"/>
                <w:szCs w:val="24"/>
              </w:rPr>
            </w:pPr>
          </w:p>
          <w:p>
            <w:pPr>
              <w:pStyle w:val="2"/>
              <w:ind w:left="0"/>
              <w:jc w:val="center"/>
              <w:rPr>
                <w:rFonts w:ascii="仿宋_GB2312" w:hAnsi="仿宋_GB2312" w:eastAsia="仿宋_GB2312" w:cs="仿宋_GB2312"/>
                <w:w w:val="95"/>
                <w:sz w:val="24"/>
                <w:szCs w:val="24"/>
              </w:rPr>
            </w:pPr>
          </w:p>
          <w:p>
            <w:pPr>
              <w:pStyle w:val="2"/>
              <w:ind w:left="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机械检测</w:t>
            </w:r>
          </w:p>
          <w:p>
            <w:pPr>
              <w:pStyle w:val="2"/>
              <w:ind w:left="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仪器</w:t>
            </w:r>
          </w:p>
          <w:p>
            <w:pPr>
              <w:pStyle w:val="10"/>
              <w:spacing w:before="1"/>
              <w:ind w:left="97" w:right="118"/>
              <w:jc w:val="center"/>
              <w:rPr>
                <w:rFonts w:ascii="仿宋_GB2312" w:hAnsi="仿宋_GB2312" w:eastAsia="仿宋_GB2312" w:cs="仿宋_GB2312"/>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主要学习测高仪、影像仪、三坐标等检测仪器设备工作原理和使用方法，使学生具备机械产品质量检测的能力，具备机械设备维修与管理的基本能力，为后续实习实训和工作打下基础。</w:t>
            </w:r>
          </w:p>
        </w:tc>
        <w:tc>
          <w:tcPr>
            <w:tcW w:w="1283" w:type="dxa"/>
          </w:tcPr>
          <w:p>
            <w:pPr>
              <w:pStyle w:val="10"/>
              <w:rPr>
                <w:rFonts w:ascii="仿宋_GB2312" w:hAnsi="仿宋_GB2312" w:eastAsia="仿宋_GB2312" w:cs="仿宋_GB2312"/>
                <w:sz w:val="24"/>
                <w:szCs w:val="24"/>
              </w:rPr>
            </w:pPr>
          </w:p>
          <w:p>
            <w:pPr>
              <w:pStyle w:val="10"/>
              <w:jc w:val="both"/>
              <w:rPr>
                <w:rFonts w:ascii="仿宋_GB2312" w:hAnsi="仿宋_GB2312" w:eastAsia="仿宋_GB2312" w:cs="仿宋_GB2312"/>
                <w:sz w:val="24"/>
                <w:szCs w:val="24"/>
              </w:rPr>
            </w:pPr>
          </w:p>
          <w:p>
            <w:pPr>
              <w:pStyle w:val="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553" w:type="dxa"/>
          </w:tcPr>
          <w:p>
            <w:pPr>
              <w:pStyle w:val="10"/>
              <w:rPr>
                <w:rFonts w:ascii="仿宋_GB2312" w:hAnsi="仿宋_GB2312" w:eastAsia="仿宋_GB2312" w:cs="仿宋_GB2312"/>
                <w:sz w:val="24"/>
                <w:szCs w:val="24"/>
              </w:rPr>
            </w:pPr>
          </w:p>
          <w:p>
            <w:pPr>
              <w:pStyle w:val="10"/>
              <w:spacing w:before="6"/>
              <w:rPr>
                <w:rFonts w:ascii="仿宋_GB2312" w:hAnsi="仿宋_GB2312" w:eastAsia="仿宋_GB2312" w:cs="仿宋_GB2312"/>
                <w:sz w:val="24"/>
                <w:szCs w:val="24"/>
              </w:rPr>
            </w:pPr>
          </w:p>
          <w:p>
            <w:pPr>
              <w:pStyle w:val="10"/>
              <w:ind w:left="188"/>
              <w:rPr>
                <w:rFonts w:ascii="仿宋_GB2312" w:hAnsi="仿宋_GB2312" w:eastAsia="仿宋_GB2312" w:cs="仿宋_GB2312"/>
                <w:sz w:val="24"/>
                <w:szCs w:val="24"/>
              </w:rPr>
            </w:pPr>
            <w:r>
              <w:rPr>
                <w:rFonts w:hint="eastAsia" w:ascii="仿宋_GB2312" w:hAnsi="仿宋_GB2312" w:eastAsia="仿宋_GB2312" w:cs="仿宋_GB2312"/>
                <w:color w:val="221F1F"/>
                <w:sz w:val="24"/>
                <w:szCs w:val="24"/>
              </w:rPr>
              <w:t>7</w:t>
            </w:r>
          </w:p>
        </w:tc>
        <w:tc>
          <w:tcPr>
            <w:tcW w:w="1466" w:type="dxa"/>
          </w:tcPr>
          <w:p>
            <w:pPr>
              <w:pStyle w:val="2"/>
              <w:spacing w:before="120"/>
              <w:ind w:right="220" w:rightChars="100"/>
              <w:rPr>
                <w:rFonts w:ascii="仿宋_GB2312" w:hAnsi="仿宋_GB2312" w:eastAsia="仿宋_GB2312" w:cs="仿宋_GB2312"/>
                <w:sz w:val="24"/>
                <w:szCs w:val="24"/>
              </w:rPr>
            </w:pPr>
          </w:p>
          <w:p>
            <w:pPr>
              <w:pStyle w:val="2"/>
              <w:spacing w:before="120"/>
              <w:ind w:right="220" w:rightChars="100"/>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机械设备控制技术</w:t>
            </w:r>
          </w:p>
          <w:p>
            <w:pPr>
              <w:pStyle w:val="10"/>
              <w:spacing w:line="600" w:lineRule="exact"/>
              <w:ind w:right="510"/>
              <w:jc w:val="center"/>
              <w:rPr>
                <w:rFonts w:ascii="仿宋_GB2312" w:hAnsi="仿宋_GB2312" w:eastAsia="仿宋_GB2312" w:cs="仿宋_GB2312"/>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sz w:val="24"/>
                <w:szCs w:val="24"/>
              </w:rPr>
            </w:pPr>
            <w:r>
              <w:rPr>
                <w:rFonts w:hint="eastAsia" w:ascii="仿宋_GB2312" w:hAnsi="仿宋_GB2312" w:eastAsia="仿宋_GB2312" w:cs="仿宋_GB2312"/>
                <w:color w:val="221F1F"/>
                <w:spacing w:val="-3"/>
                <w:sz w:val="24"/>
                <w:szCs w:val="24"/>
              </w:rPr>
              <w:t>使学生初步具有排除机械加工设备中常见电气、液压控制系统故障的基本能力，了解一般电气控制和PLC控制的异同，掌握PLC编程的基本方法，会阅读电气、液压线路图，会使用PLC，并能装接简单的继电器-接触器控制线路，为以后的工作实践打下毕要基础。</w:t>
            </w:r>
          </w:p>
        </w:tc>
        <w:tc>
          <w:tcPr>
            <w:tcW w:w="1283" w:type="dxa"/>
          </w:tcPr>
          <w:p>
            <w:pPr>
              <w:pStyle w:val="10"/>
              <w:rPr>
                <w:rFonts w:ascii="仿宋_GB2312" w:hAnsi="仿宋_GB2312" w:eastAsia="仿宋_GB2312" w:cs="仿宋_GB2312"/>
                <w:sz w:val="24"/>
                <w:szCs w:val="24"/>
              </w:rPr>
            </w:pPr>
          </w:p>
          <w:p>
            <w:pPr>
              <w:pStyle w:val="10"/>
              <w:spacing w:before="173"/>
              <w:ind w:left="125" w:right="148"/>
              <w:jc w:val="center"/>
              <w:rPr>
                <w:rFonts w:ascii="仿宋_GB2312" w:hAnsi="仿宋_GB2312" w:eastAsia="仿宋_GB2312" w:cs="仿宋_GB2312"/>
                <w:sz w:val="24"/>
                <w:szCs w:val="24"/>
              </w:rPr>
            </w:pPr>
          </w:p>
          <w:p>
            <w:pPr>
              <w:pStyle w:val="10"/>
              <w:spacing w:before="173"/>
              <w:ind w:left="125"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5" w:hRule="atLeast"/>
        </w:trPr>
        <w:tc>
          <w:tcPr>
            <w:tcW w:w="553" w:type="dxa"/>
          </w:tcPr>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r>
              <w:rPr>
                <w:rFonts w:hint="eastAsia" w:ascii="仿宋_GB2312" w:hAnsi="仿宋_GB2312" w:eastAsia="仿宋_GB2312" w:cs="仿宋_GB2312"/>
                <w:color w:val="221F1F"/>
                <w:sz w:val="24"/>
                <w:szCs w:val="24"/>
              </w:rPr>
              <w:t>8</w:t>
            </w:r>
          </w:p>
        </w:tc>
        <w:tc>
          <w:tcPr>
            <w:tcW w:w="1466" w:type="dxa"/>
          </w:tcPr>
          <w:p>
            <w:pPr>
              <w:pStyle w:val="2"/>
              <w:spacing w:before="120"/>
              <w:ind w:right="220" w:rightChars="100"/>
              <w:rPr>
                <w:rFonts w:ascii="仿宋_GB2312" w:hAnsi="仿宋_GB2312" w:eastAsia="仿宋_GB2312" w:cs="仿宋_GB2312"/>
                <w:w w:val="95"/>
                <w:sz w:val="24"/>
                <w:szCs w:val="24"/>
              </w:rPr>
            </w:pPr>
          </w:p>
          <w:p>
            <w:pPr>
              <w:pStyle w:val="2"/>
              <w:spacing w:before="120"/>
              <w:ind w:right="220" w:rightChars="100"/>
              <w:rPr>
                <w:rFonts w:ascii="仿宋_GB2312" w:hAnsi="仿宋_GB2312" w:eastAsia="仿宋_GB2312" w:cs="仿宋_GB2312"/>
                <w:color w:val="221F1F"/>
                <w:spacing w:val="-3"/>
                <w:sz w:val="24"/>
                <w:szCs w:val="24"/>
              </w:rPr>
            </w:pPr>
          </w:p>
          <w:p>
            <w:pPr>
              <w:pStyle w:val="2"/>
              <w:spacing w:before="120"/>
              <w:ind w:left="0" w:right="220" w:rightChars="100"/>
              <w:jc w:val="center"/>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 xml:space="preserve">  金属加工</w:t>
            </w:r>
          </w:p>
          <w:p>
            <w:pPr>
              <w:pStyle w:val="2"/>
              <w:spacing w:before="120"/>
              <w:ind w:left="0" w:right="220" w:rightChars="100"/>
              <w:jc w:val="center"/>
              <w:rPr>
                <w:rFonts w:ascii="仿宋_GB2312" w:hAnsi="仿宋_GB2312" w:eastAsia="仿宋_GB2312" w:cs="仿宋_GB2312"/>
                <w:w w:val="95"/>
                <w:sz w:val="24"/>
                <w:szCs w:val="24"/>
              </w:rPr>
            </w:pPr>
            <w:r>
              <w:rPr>
                <w:rFonts w:hint="eastAsia" w:ascii="仿宋_GB2312" w:hAnsi="仿宋_GB2312" w:eastAsia="仿宋_GB2312" w:cs="仿宋_GB2312"/>
                <w:color w:val="221F1F"/>
                <w:spacing w:val="-3"/>
                <w:sz w:val="24"/>
                <w:szCs w:val="24"/>
              </w:rPr>
              <w:t xml:space="preserve"> 基础</w:t>
            </w:r>
          </w:p>
          <w:p>
            <w:pPr>
              <w:pStyle w:val="10"/>
              <w:spacing w:line="357" w:lineRule="auto"/>
              <w:ind w:left="465" w:right="510"/>
              <w:rPr>
                <w:rFonts w:ascii="仿宋_GB2312" w:hAnsi="仿宋_GB2312" w:eastAsia="仿宋_GB2312" w:cs="仿宋_GB2312"/>
                <w:color w:val="221F1F"/>
                <w:spacing w:val="-3"/>
                <w:sz w:val="24"/>
                <w:szCs w:val="24"/>
              </w:rPr>
            </w:pPr>
          </w:p>
        </w:tc>
        <w:tc>
          <w:tcPr>
            <w:tcW w:w="6584" w:type="dxa"/>
          </w:tcPr>
          <w:p>
            <w:pPr>
              <w:pStyle w:val="2"/>
              <w:spacing w:before="120" w:line="400" w:lineRule="exact"/>
              <w:ind w:left="220" w:leftChars="100" w:right="220" w:rightChars="100" w:firstLine="468" w:firstLineChars="200"/>
              <w:rPr>
                <w:rFonts w:ascii="仿宋_GB2312" w:hAnsi="仿宋_GB2312" w:eastAsia="仿宋_GB2312" w:cs="仿宋_GB2312"/>
                <w:color w:val="221F1F"/>
                <w:spacing w:val="-19"/>
                <w:sz w:val="24"/>
                <w:szCs w:val="24"/>
              </w:rPr>
            </w:pPr>
            <w:r>
              <w:rPr>
                <w:rFonts w:hint="eastAsia" w:ascii="仿宋_GB2312" w:hAnsi="仿宋_GB2312" w:eastAsia="仿宋_GB2312" w:cs="仿宋_GB2312"/>
                <w:color w:val="221F1F"/>
                <w:spacing w:val="-3"/>
                <w:sz w:val="24"/>
                <w:szCs w:val="24"/>
              </w:rPr>
              <w:t>主要学习金属材料及热处理的基础，了解钢的表面热处理和化学热处理的一般方法；铸造和锻造的新方法和新工艺。使学生能正确选用常用金属材料:熟悉一般机械加工的工艺路线与热处理工序;掌握钳工、车工、铣工、焊工等金属加工的基础操作技能;会使用常用的工、量、刃具:;能阅读中等复杂程度的零件图及常见工种的工艺卡，并能按工艺卡要求实施加工工艺。</w:t>
            </w:r>
          </w:p>
        </w:tc>
        <w:tc>
          <w:tcPr>
            <w:tcW w:w="1283" w:type="dxa"/>
          </w:tcPr>
          <w:p>
            <w:pPr>
              <w:pStyle w:val="10"/>
              <w:spacing w:before="173"/>
              <w:ind w:left="125" w:right="148"/>
              <w:jc w:val="center"/>
              <w:rPr>
                <w:rFonts w:ascii="仿宋_GB2312" w:hAnsi="仿宋_GB2312" w:eastAsia="仿宋_GB2312" w:cs="仿宋_GB2312"/>
                <w:sz w:val="24"/>
                <w:szCs w:val="24"/>
              </w:rPr>
            </w:pPr>
          </w:p>
          <w:p>
            <w:pPr>
              <w:pStyle w:val="10"/>
              <w:spacing w:before="173"/>
              <w:ind w:right="148"/>
              <w:jc w:val="both"/>
              <w:rPr>
                <w:rFonts w:ascii="仿宋_GB2312" w:hAnsi="仿宋_GB2312" w:eastAsia="仿宋_GB2312" w:cs="仿宋_GB2312"/>
                <w:sz w:val="24"/>
                <w:szCs w:val="24"/>
              </w:rPr>
            </w:pPr>
          </w:p>
          <w:p>
            <w:pPr>
              <w:pStyle w:val="10"/>
              <w:spacing w:before="173"/>
              <w:ind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180</w:t>
            </w:r>
          </w:p>
          <w:p>
            <w:pPr>
              <w:pStyle w:val="10"/>
              <w:spacing w:before="173"/>
              <w:ind w:right="148"/>
              <w:jc w:val="both"/>
              <w:rPr>
                <w:rFonts w:ascii="仿宋_GB2312" w:hAnsi="仿宋_GB2312" w:eastAsia="仿宋_GB2312" w:cs="仿宋_GB2312"/>
                <w:sz w:val="24"/>
                <w:szCs w:val="24"/>
              </w:rPr>
            </w:pPr>
          </w:p>
          <w:p>
            <w:pPr>
              <w:pStyle w:val="10"/>
              <w:spacing w:before="173"/>
              <w:ind w:right="148"/>
              <w:jc w:val="both"/>
              <w:rPr>
                <w:rFonts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553" w:type="dxa"/>
            <w:vMerge w:val="restart"/>
          </w:tcPr>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p>
          <w:p>
            <w:pPr>
              <w:pStyle w:val="10"/>
              <w:ind w:left="188"/>
              <w:rPr>
                <w:rFonts w:ascii="仿宋_GB2312" w:hAnsi="仿宋_GB2312" w:eastAsia="仿宋_GB2312" w:cs="仿宋_GB2312"/>
                <w:color w:val="221F1F"/>
                <w:sz w:val="24"/>
                <w:szCs w:val="24"/>
              </w:rPr>
            </w:pPr>
            <w:r>
              <w:rPr>
                <w:rFonts w:hint="eastAsia" w:ascii="仿宋_GB2312" w:hAnsi="仿宋_GB2312" w:eastAsia="仿宋_GB2312" w:cs="仿宋_GB2312"/>
                <w:color w:val="221F1F"/>
                <w:sz w:val="24"/>
                <w:szCs w:val="24"/>
              </w:rPr>
              <w:t>9</w:t>
            </w:r>
          </w:p>
        </w:tc>
        <w:tc>
          <w:tcPr>
            <w:tcW w:w="1466" w:type="dxa"/>
          </w:tcPr>
          <w:p>
            <w:pPr>
              <w:pStyle w:val="10"/>
              <w:spacing w:line="357" w:lineRule="auto"/>
              <w:ind w:left="465" w:right="510"/>
              <w:rPr>
                <w:rFonts w:ascii="仿宋_GB2312" w:hAnsi="仿宋_GB2312" w:eastAsia="仿宋_GB2312" w:cs="仿宋_GB2312"/>
                <w:color w:val="221F1F"/>
                <w:spacing w:val="-3"/>
                <w:sz w:val="24"/>
                <w:szCs w:val="24"/>
              </w:rPr>
            </w:pPr>
          </w:p>
          <w:p>
            <w:pPr>
              <w:pStyle w:val="10"/>
              <w:spacing w:line="357" w:lineRule="auto"/>
              <w:ind w:left="465" w:right="510"/>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综合实训</w:t>
            </w:r>
          </w:p>
        </w:tc>
        <w:tc>
          <w:tcPr>
            <w:tcW w:w="6584" w:type="dxa"/>
            <w:vMerge w:val="restart"/>
          </w:tcPr>
          <w:p>
            <w:pPr>
              <w:pStyle w:val="2"/>
              <w:spacing w:before="120" w:line="400" w:lineRule="exact"/>
              <w:ind w:left="220" w:leftChars="100" w:right="220" w:rightChars="100" w:firstLine="456" w:firstLineChars="200"/>
              <w:rPr>
                <w:rFonts w:ascii="仿宋_GB2312" w:hAnsi="仿宋_GB2312" w:eastAsia="仿宋_GB2312" w:cs="仿宋_GB2312"/>
                <w:w w:val="95"/>
                <w:sz w:val="24"/>
                <w:szCs w:val="24"/>
              </w:rPr>
            </w:pPr>
          </w:p>
          <w:p>
            <w:pPr>
              <w:pStyle w:val="2"/>
              <w:spacing w:before="120" w:line="400" w:lineRule="exact"/>
              <w:ind w:left="220" w:leftChars="100" w:right="220" w:rightChars="100" w:firstLine="468" w:firstLineChars="200"/>
              <w:rPr>
                <w:rFonts w:ascii="仿宋_GB2312" w:hAnsi="仿宋_GB2312" w:eastAsia="仿宋_GB2312" w:cs="仿宋_GB2312"/>
                <w:w w:val="95"/>
                <w:sz w:val="24"/>
                <w:szCs w:val="24"/>
              </w:rPr>
            </w:pPr>
            <w:r>
              <w:rPr>
                <w:rFonts w:hint="eastAsia" w:ascii="仿宋_GB2312" w:hAnsi="仿宋_GB2312" w:eastAsia="仿宋_GB2312" w:cs="仿宋_GB2312"/>
                <w:color w:val="221F1F"/>
                <w:spacing w:val="-3"/>
                <w:sz w:val="24"/>
                <w:szCs w:val="24"/>
              </w:rPr>
              <w:t>通过校内外实训、顶岗实习等多种形式，学以致用，学生到企业感受现代化企业文化氛围，学习高精度复杂零件的编程加工技术，能在师傅指导下操作设备完成零件或零件某一工序的加工。</w:t>
            </w:r>
          </w:p>
        </w:tc>
        <w:tc>
          <w:tcPr>
            <w:tcW w:w="1283" w:type="dxa"/>
            <w:vMerge w:val="restart"/>
          </w:tcPr>
          <w:p>
            <w:pPr>
              <w:pStyle w:val="10"/>
              <w:spacing w:before="173"/>
              <w:ind w:left="125" w:right="148"/>
              <w:jc w:val="center"/>
              <w:rPr>
                <w:rFonts w:ascii="仿宋_GB2312" w:hAnsi="仿宋_GB2312" w:eastAsia="仿宋_GB2312" w:cs="仿宋_GB2312"/>
                <w:sz w:val="24"/>
                <w:szCs w:val="24"/>
              </w:rPr>
            </w:pPr>
          </w:p>
          <w:p>
            <w:pPr>
              <w:pStyle w:val="10"/>
              <w:spacing w:before="173"/>
              <w:ind w:left="125" w:right="148"/>
              <w:jc w:val="center"/>
              <w:rPr>
                <w:rFonts w:ascii="仿宋_GB2312" w:hAnsi="仿宋_GB2312" w:eastAsia="仿宋_GB2312" w:cs="仿宋_GB2312"/>
                <w:sz w:val="24"/>
                <w:szCs w:val="24"/>
              </w:rPr>
            </w:pPr>
          </w:p>
          <w:p>
            <w:pPr>
              <w:pStyle w:val="10"/>
              <w:spacing w:before="173"/>
              <w:ind w:left="125" w:right="148"/>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1080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553" w:type="dxa"/>
            <w:vMerge w:val="continue"/>
          </w:tcPr>
          <w:p>
            <w:pPr>
              <w:pStyle w:val="10"/>
              <w:ind w:left="188"/>
              <w:rPr>
                <w:rFonts w:ascii="仿宋_GB2312" w:hAnsi="仿宋_GB2312" w:eastAsia="仿宋_GB2312" w:cs="仿宋_GB2312"/>
                <w:color w:val="221F1F"/>
                <w:sz w:val="24"/>
                <w:szCs w:val="24"/>
              </w:rPr>
            </w:pPr>
          </w:p>
        </w:tc>
        <w:tc>
          <w:tcPr>
            <w:tcW w:w="1466" w:type="dxa"/>
          </w:tcPr>
          <w:p>
            <w:pPr>
              <w:pStyle w:val="10"/>
              <w:spacing w:line="357" w:lineRule="auto"/>
              <w:ind w:left="465" w:right="510"/>
              <w:rPr>
                <w:rFonts w:ascii="仿宋_GB2312" w:hAnsi="仿宋_GB2312" w:eastAsia="仿宋_GB2312" w:cs="仿宋_GB2312"/>
                <w:color w:val="221F1F"/>
                <w:spacing w:val="-3"/>
                <w:sz w:val="24"/>
                <w:szCs w:val="24"/>
              </w:rPr>
            </w:pPr>
          </w:p>
          <w:p>
            <w:pPr>
              <w:pStyle w:val="10"/>
              <w:spacing w:line="357" w:lineRule="auto"/>
              <w:ind w:left="465" w:right="510"/>
              <w:rPr>
                <w:rFonts w:ascii="仿宋_GB2312" w:hAnsi="仿宋_GB2312" w:eastAsia="仿宋_GB2312" w:cs="仿宋_GB2312"/>
                <w:color w:val="221F1F"/>
                <w:spacing w:val="-3"/>
                <w:sz w:val="24"/>
                <w:szCs w:val="24"/>
              </w:rPr>
            </w:pPr>
            <w:r>
              <w:rPr>
                <w:rFonts w:hint="eastAsia" w:ascii="仿宋_GB2312" w:hAnsi="仿宋_GB2312" w:eastAsia="仿宋_GB2312" w:cs="仿宋_GB2312"/>
                <w:color w:val="221F1F"/>
                <w:spacing w:val="-3"/>
                <w:sz w:val="24"/>
                <w:szCs w:val="24"/>
              </w:rPr>
              <w:t>顶岗实习</w:t>
            </w:r>
          </w:p>
        </w:tc>
        <w:tc>
          <w:tcPr>
            <w:tcW w:w="6584" w:type="dxa"/>
            <w:vMerge w:val="continue"/>
          </w:tcPr>
          <w:p>
            <w:pPr>
              <w:pStyle w:val="2"/>
              <w:spacing w:before="120"/>
              <w:ind w:left="220" w:leftChars="100" w:right="220" w:rightChars="100" w:firstLine="456" w:firstLineChars="200"/>
              <w:rPr>
                <w:rFonts w:ascii="仿宋_GB2312" w:hAnsi="仿宋_GB2312" w:eastAsia="仿宋_GB2312" w:cs="仿宋_GB2312"/>
                <w:w w:val="95"/>
                <w:sz w:val="24"/>
                <w:szCs w:val="24"/>
              </w:rPr>
            </w:pPr>
          </w:p>
        </w:tc>
        <w:tc>
          <w:tcPr>
            <w:tcW w:w="1283" w:type="dxa"/>
            <w:vMerge w:val="continue"/>
          </w:tcPr>
          <w:p>
            <w:pPr>
              <w:pStyle w:val="10"/>
              <w:spacing w:before="173"/>
              <w:ind w:left="125" w:right="148"/>
              <w:jc w:val="center"/>
              <w:rPr>
                <w:rFonts w:ascii="仿宋_GB2312" w:hAnsi="仿宋_GB2312" w:eastAsia="仿宋_GB2312" w:cs="仿宋_GB2312"/>
                <w:sz w:val="24"/>
                <w:szCs w:val="24"/>
              </w:rPr>
            </w:pPr>
          </w:p>
        </w:tc>
      </w:tr>
    </w:tbl>
    <w:p/>
    <w:p>
      <w:pPr>
        <w:rPr>
          <w:rFonts w:ascii="仿宋_GB2312" w:hAnsi="仿宋_GB2312" w:eastAsia="仿宋_GB2312" w:cs="仿宋_GB2312"/>
          <w:sz w:val="30"/>
          <w:szCs w:val="30"/>
        </w:rPr>
      </w:pPr>
      <w:r>
        <w:rPr>
          <w:rFonts w:hint="eastAsia" w:ascii="仿宋_GB2312" w:hAnsi="仿宋_GB2312" w:eastAsia="仿宋_GB2312" w:cs="仿宋_GB2312"/>
          <w:sz w:val="30"/>
          <w:szCs w:val="30"/>
        </w:rPr>
        <w:t>专业选修课：</w:t>
      </w:r>
    </w:p>
    <w:p>
      <w:pPr>
        <w:spacing w:line="520" w:lineRule="exact"/>
        <w:ind w:firstLine="740" w:firstLineChars="200"/>
        <w:rPr>
          <w:rFonts w:ascii="仿宋_GB2312" w:hAnsi="仿宋_GB2312" w:eastAsia="仿宋_GB2312" w:cs="仿宋_GB2312"/>
          <w:sz w:val="30"/>
          <w:szCs w:val="30"/>
        </w:rPr>
      </w:pPr>
      <w:r>
        <w:rPr>
          <w:rFonts w:hint="eastAsia" w:ascii="仿宋_GB2312" w:hAnsi="仿宋_GB2312" w:eastAsia="仿宋_GB2312" w:cs="仿宋_GB2312"/>
          <w:color w:val="221F1F"/>
          <w:spacing w:val="35"/>
          <w:sz w:val="30"/>
          <w:szCs w:val="30"/>
        </w:rPr>
        <w:t>《计算机工业控制》、《设备造型设计》、《调速系统》、《经济型数控系统应用》、《设备数控改造设计》等课程。</w:t>
      </w:r>
    </w:p>
    <w:p/>
    <w:p/>
    <w:p>
      <w:pPr>
        <w:jc w:val="center"/>
        <w:rPr>
          <w:rFonts w:ascii="仿宋_GB2312" w:hAnsi="仿宋_GB2312" w:eastAsia="仿宋_GB2312" w:cs="仿宋_GB2312"/>
          <w:sz w:val="24"/>
          <w:szCs w:val="24"/>
        </w:rPr>
        <w:sectPr>
          <w:footerReference r:id="rId5" w:type="default"/>
          <w:pgSz w:w="11910" w:h="16840"/>
          <w:pgMar w:top="1440" w:right="1803" w:bottom="1440" w:left="1803" w:header="0" w:footer="913" w:gutter="0"/>
          <w:cols w:space="720" w:num="1"/>
        </w:sectPr>
      </w:pPr>
    </w:p>
    <w:p>
      <w:pPr>
        <w:pStyle w:val="2"/>
        <w:spacing w:before="168"/>
        <w:ind w:left="0"/>
        <w:rPr>
          <w:rFonts w:ascii="黑体" w:hAnsi="黑体" w:eastAsia="黑体" w:cs="黑体"/>
          <w:sz w:val="30"/>
          <w:szCs w:val="30"/>
        </w:rPr>
      </w:pPr>
      <w:bookmarkStart w:id="13" w:name="（二）专业（技能）课程"/>
      <w:bookmarkEnd w:id="13"/>
      <w:r>
        <w:rPr>
          <w:rFonts w:hint="eastAsia" w:ascii="黑体" w:hAnsi="黑体" w:eastAsia="黑体" w:cs="黑体"/>
          <w:sz w:val="30"/>
          <w:szCs w:val="30"/>
        </w:rPr>
        <w:t>七、教学进程总体安排</w:t>
      </w:r>
    </w:p>
    <w:p>
      <w:pPr>
        <w:pStyle w:val="2"/>
        <w:spacing w:before="171"/>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（一）教学时间分配表（单位：周）</w:t>
      </w:r>
    </w:p>
    <w:tbl>
      <w:tblPr>
        <w:tblStyle w:val="8"/>
        <w:tblpPr w:leftFromText="180" w:rightFromText="180" w:vertAnchor="text" w:horzAnchor="page" w:tblpX="859" w:tblpY="385"/>
        <w:tblOverlap w:val="never"/>
        <w:tblW w:w="103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98"/>
        <w:gridCol w:w="977"/>
        <w:gridCol w:w="1041"/>
        <w:gridCol w:w="1008"/>
        <w:gridCol w:w="1008"/>
        <w:gridCol w:w="1008"/>
        <w:gridCol w:w="1008"/>
        <w:gridCol w:w="1008"/>
        <w:gridCol w:w="17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1498" w:type="dxa"/>
            <w:tcBorders>
              <w:top w:val="single" w:color="auto" w:sz="4" w:space="0"/>
              <w:left w:val="single" w:color="auto" w:sz="4" w:space="0"/>
            </w:tcBorders>
          </w:tcPr>
          <w:p>
            <w:pPr>
              <w:pStyle w:val="10"/>
              <w:spacing w:line="400" w:lineRule="exact"/>
              <w:ind w:left="108" w:right="417" w:firstLine="480"/>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环节</w:t>
            </w:r>
            <w:r>
              <w:rPr>
                <w:rFonts w:hint="eastAsia" w:ascii="仿宋_GB2312" w:hAnsi="仿宋_GB2312" w:eastAsia="仿宋_GB2312" w:cs="仿宋_GB2312"/>
                <w:sz w:val="24"/>
                <w:szCs w:val="24"/>
              </w:rPr>
              <w:t>学期</w:t>
            </w:r>
          </w:p>
        </w:tc>
        <w:tc>
          <w:tcPr>
            <w:tcW w:w="977" w:type="dxa"/>
            <w:tcBorders>
              <w:top w:val="single" w:color="auto" w:sz="4" w:space="0"/>
            </w:tcBorders>
            <w:shd w:val="clear" w:color="auto" w:fill="auto"/>
          </w:tcPr>
          <w:p>
            <w:pPr>
              <w:pStyle w:val="10"/>
              <w:spacing w:line="400" w:lineRule="exact"/>
              <w:ind w:left="247" w:right="237"/>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入学教育</w:t>
            </w:r>
          </w:p>
        </w:tc>
        <w:tc>
          <w:tcPr>
            <w:tcW w:w="1041" w:type="dxa"/>
            <w:tcBorders>
              <w:top w:val="single" w:color="auto" w:sz="4" w:space="0"/>
            </w:tcBorders>
            <w:shd w:val="clear" w:color="auto" w:fill="auto"/>
          </w:tcPr>
          <w:p>
            <w:pPr>
              <w:pStyle w:val="10"/>
              <w:spacing w:line="400" w:lineRule="exact"/>
              <w:ind w:left="280" w:right="268"/>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课程教学</w:t>
            </w:r>
          </w:p>
        </w:tc>
        <w:tc>
          <w:tcPr>
            <w:tcW w:w="1008" w:type="dxa"/>
            <w:tcBorders>
              <w:top w:val="single" w:color="auto" w:sz="4" w:space="0"/>
            </w:tcBorders>
            <w:shd w:val="clear" w:color="auto" w:fill="auto"/>
          </w:tcPr>
          <w:p>
            <w:pPr>
              <w:pStyle w:val="10"/>
              <w:spacing w:line="400" w:lineRule="exact"/>
              <w:ind w:left="264" w:righ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劳动教育</w:t>
            </w:r>
          </w:p>
        </w:tc>
        <w:tc>
          <w:tcPr>
            <w:tcW w:w="1008" w:type="dxa"/>
            <w:tcBorders>
              <w:top w:val="single" w:color="auto" w:sz="4" w:space="0"/>
            </w:tcBorders>
            <w:shd w:val="clear" w:color="auto" w:fill="auto"/>
          </w:tcPr>
          <w:p>
            <w:pPr>
              <w:pStyle w:val="10"/>
              <w:spacing w:line="400" w:lineRule="exact"/>
              <w:ind w:left="264" w:righ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综合实训</w:t>
            </w:r>
          </w:p>
        </w:tc>
        <w:tc>
          <w:tcPr>
            <w:tcW w:w="1008" w:type="dxa"/>
            <w:tcBorders>
              <w:top w:val="single" w:color="auto" w:sz="4" w:space="0"/>
            </w:tcBorders>
            <w:shd w:val="clear" w:color="auto" w:fill="auto"/>
          </w:tcPr>
          <w:p>
            <w:pPr>
              <w:pStyle w:val="10"/>
              <w:spacing w:line="400" w:lineRule="exact"/>
              <w:ind w:left="264" w:righ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复习考试</w:t>
            </w:r>
          </w:p>
        </w:tc>
        <w:tc>
          <w:tcPr>
            <w:tcW w:w="1008" w:type="dxa"/>
            <w:tcBorders>
              <w:top w:val="single" w:color="auto" w:sz="4" w:space="0"/>
            </w:tcBorders>
            <w:shd w:val="clear" w:color="auto" w:fill="auto"/>
          </w:tcPr>
          <w:p>
            <w:pPr>
              <w:pStyle w:val="10"/>
              <w:spacing w:line="400" w:lineRule="exact"/>
              <w:ind w:left="264" w:righ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岗位实习</w:t>
            </w:r>
          </w:p>
        </w:tc>
        <w:tc>
          <w:tcPr>
            <w:tcW w:w="1008" w:type="dxa"/>
            <w:tcBorders>
              <w:top w:val="single" w:color="auto" w:sz="4" w:space="0"/>
            </w:tcBorders>
            <w:shd w:val="clear" w:color="auto" w:fill="auto"/>
          </w:tcPr>
          <w:p>
            <w:pPr>
              <w:pStyle w:val="10"/>
              <w:spacing w:line="400" w:lineRule="exact"/>
              <w:ind w:left="264" w:right="251"/>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毕业教育</w:t>
            </w:r>
          </w:p>
        </w:tc>
        <w:tc>
          <w:tcPr>
            <w:tcW w:w="1744" w:type="dxa"/>
            <w:tcBorders>
              <w:top w:val="single" w:color="auto" w:sz="4" w:space="0"/>
              <w:right w:val="single" w:color="auto" w:sz="4" w:space="0"/>
            </w:tcBorders>
            <w:shd w:val="clear" w:color="auto" w:fill="auto"/>
          </w:tcPr>
          <w:p>
            <w:pPr>
              <w:pStyle w:val="10"/>
              <w:spacing w:line="400" w:lineRule="exact"/>
              <w:ind w:left="631" w:right="620"/>
              <w:jc w:val="center"/>
              <w:rPr>
                <w:rFonts w:ascii="仿宋_GB2312" w:hAnsi="仿宋_GB2312" w:eastAsia="仿宋_GB2312" w:cs="仿宋_GB2312"/>
                <w:sz w:val="24"/>
                <w:szCs w:val="24"/>
              </w:rPr>
            </w:pPr>
            <w:r>
              <w:rPr>
                <w:rFonts w:hint="eastAsia" w:ascii="仿宋_GB2312" w:hAnsi="仿宋_GB2312" w:eastAsia="仿宋_GB2312" w:cs="仿宋_GB2312"/>
                <w:spacing w:val="-2"/>
                <w:sz w:val="24"/>
                <w:szCs w:val="24"/>
              </w:rPr>
              <w:t>合计周数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1498" w:type="dxa"/>
            <w:tcBorders>
              <w:left w:val="single" w:color="auto" w:sz="4" w:space="0"/>
            </w:tcBorders>
          </w:tcPr>
          <w:p>
            <w:pPr>
              <w:pStyle w:val="10"/>
              <w:spacing w:before="37"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w:t>
            </w:r>
          </w:p>
        </w:tc>
        <w:tc>
          <w:tcPr>
            <w:tcW w:w="977" w:type="dxa"/>
          </w:tcPr>
          <w:p>
            <w:pPr>
              <w:pStyle w:val="10"/>
              <w:spacing w:before="37" w:line="520" w:lineRule="exact"/>
              <w:ind w:right="417"/>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41" w:type="dxa"/>
          </w:tcPr>
          <w:p>
            <w:pPr>
              <w:pStyle w:val="10"/>
              <w:spacing w:before="37"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before="37"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744" w:type="dxa"/>
            <w:tcBorders>
              <w:right w:val="single" w:color="auto" w:sz="4" w:space="0"/>
            </w:tcBorders>
          </w:tcPr>
          <w:p>
            <w:pPr>
              <w:pStyle w:val="10"/>
              <w:spacing w:before="37"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1498" w:type="dxa"/>
            <w:tcBorders>
              <w:left w:val="single" w:color="auto" w:sz="4" w:space="0"/>
            </w:tcBorders>
          </w:tcPr>
          <w:p>
            <w:pPr>
              <w:pStyle w:val="10"/>
              <w:spacing w:before="54"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w:t>
            </w:r>
          </w:p>
        </w:tc>
        <w:tc>
          <w:tcPr>
            <w:tcW w:w="977" w:type="dxa"/>
          </w:tcPr>
          <w:p>
            <w:pPr>
              <w:pStyle w:val="10"/>
              <w:spacing w:line="520" w:lineRule="exact"/>
              <w:rPr>
                <w:rFonts w:ascii="仿宋_GB2312" w:hAnsi="仿宋_GB2312" w:eastAsia="仿宋_GB2312" w:cs="仿宋_GB2312"/>
                <w:sz w:val="24"/>
                <w:szCs w:val="24"/>
              </w:rPr>
            </w:pPr>
          </w:p>
        </w:tc>
        <w:tc>
          <w:tcPr>
            <w:tcW w:w="1041" w:type="dxa"/>
          </w:tcPr>
          <w:p>
            <w:pPr>
              <w:pStyle w:val="10"/>
              <w:spacing w:before="54"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08" w:type="dxa"/>
          </w:tcPr>
          <w:p>
            <w:pPr>
              <w:pStyle w:val="10"/>
              <w:spacing w:before="54"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before="54"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744" w:type="dxa"/>
            <w:tcBorders>
              <w:right w:val="single" w:color="auto" w:sz="4" w:space="0"/>
            </w:tcBorders>
          </w:tcPr>
          <w:p>
            <w:pPr>
              <w:pStyle w:val="10"/>
              <w:spacing w:before="54"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tcBorders>
              <w:left w:val="single" w:color="auto" w:sz="4" w:space="0"/>
            </w:tcBorders>
          </w:tcPr>
          <w:p>
            <w:pPr>
              <w:pStyle w:val="10"/>
              <w:spacing w:before="29"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w:t>
            </w:r>
          </w:p>
        </w:tc>
        <w:tc>
          <w:tcPr>
            <w:tcW w:w="977" w:type="dxa"/>
          </w:tcPr>
          <w:p>
            <w:pPr>
              <w:pStyle w:val="10"/>
              <w:spacing w:line="520" w:lineRule="exact"/>
              <w:rPr>
                <w:rFonts w:ascii="仿宋_GB2312" w:hAnsi="仿宋_GB2312" w:eastAsia="仿宋_GB2312" w:cs="仿宋_GB2312"/>
                <w:sz w:val="24"/>
                <w:szCs w:val="24"/>
              </w:rPr>
            </w:pPr>
          </w:p>
        </w:tc>
        <w:tc>
          <w:tcPr>
            <w:tcW w:w="1041" w:type="dxa"/>
          </w:tcPr>
          <w:p>
            <w:pPr>
              <w:pStyle w:val="10"/>
              <w:spacing w:before="29"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before="29"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744" w:type="dxa"/>
            <w:tcBorders>
              <w:right w:val="single" w:color="auto" w:sz="4" w:space="0"/>
            </w:tcBorders>
          </w:tcPr>
          <w:p>
            <w:pPr>
              <w:pStyle w:val="10"/>
              <w:spacing w:before="29"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1498" w:type="dxa"/>
            <w:tcBorders>
              <w:left w:val="single" w:color="auto" w:sz="4" w:space="0"/>
            </w:tcBorders>
          </w:tcPr>
          <w:p>
            <w:pPr>
              <w:pStyle w:val="10"/>
              <w:spacing w:before="29"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w:t>
            </w:r>
          </w:p>
        </w:tc>
        <w:tc>
          <w:tcPr>
            <w:tcW w:w="977" w:type="dxa"/>
          </w:tcPr>
          <w:p>
            <w:pPr>
              <w:pStyle w:val="10"/>
              <w:spacing w:line="520" w:lineRule="exact"/>
              <w:rPr>
                <w:rFonts w:ascii="仿宋_GB2312" w:hAnsi="仿宋_GB2312" w:eastAsia="仿宋_GB2312" w:cs="仿宋_GB2312"/>
                <w:sz w:val="24"/>
                <w:szCs w:val="24"/>
              </w:rPr>
            </w:pPr>
          </w:p>
        </w:tc>
        <w:tc>
          <w:tcPr>
            <w:tcW w:w="1041" w:type="dxa"/>
          </w:tcPr>
          <w:p>
            <w:pPr>
              <w:pStyle w:val="10"/>
              <w:spacing w:before="29"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before="29"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Pr>
          <w:p>
            <w:pPr>
              <w:pStyle w:val="10"/>
              <w:spacing w:before="29"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Pr>
          <w:p>
            <w:pPr>
              <w:pStyle w:val="10"/>
              <w:spacing w:line="520" w:lineRule="exact"/>
              <w:rPr>
                <w:rFonts w:ascii="仿宋_GB2312" w:hAnsi="仿宋_GB2312" w:eastAsia="仿宋_GB2312" w:cs="仿宋_GB2312"/>
                <w:sz w:val="24"/>
                <w:szCs w:val="24"/>
              </w:rPr>
            </w:pPr>
          </w:p>
        </w:tc>
        <w:tc>
          <w:tcPr>
            <w:tcW w:w="1008" w:type="dxa"/>
          </w:tcPr>
          <w:p>
            <w:pPr>
              <w:pStyle w:val="10"/>
              <w:spacing w:line="520" w:lineRule="exact"/>
              <w:rPr>
                <w:rFonts w:ascii="仿宋_GB2312" w:hAnsi="仿宋_GB2312" w:eastAsia="仿宋_GB2312" w:cs="仿宋_GB2312"/>
                <w:sz w:val="24"/>
                <w:szCs w:val="24"/>
              </w:rPr>
            </w:pPr>
          </w:p>
        </w:tc>
        <w:tc>
          <w:tcPr>
            <w:tcW w:w="1744" w:type="dxa"/>
            <w:tcBorders>
              <w:right w:val="single" w:color="auto" w:sz="4" w:space="0"/>
            </w:tcBorders>
          </w:tcPr>
          <w:p>
            <w:pPr>
              <w:pStyle w:val="10"/>
              <w:spacing w:before="29"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1498" w:type="dxa"/>
            <w:tcBorders>
              <w:left w:val="single" w:color="auto" w:sz="4" w:space="0"/>
              <w:bottom w:val="single" w:color="auto" w:sz="4" w:space="0"/>
            </w:tcBorders>
          </w:tcPr>
          <w:p>
            <w:pPr>
              <w:pStyle w:val="10"/>
              <w:spacing w:before="42"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五</w:t>
            </w:r>
          </w:p>
        </w:tc>
        <w:tc>
          <w:tcPr>
            <w:tcW w:w="977" w:type="dxa"/>
            <w:tcBorders>
              <w:bottom w:val="single" w:color="auto" w:sz="4" w:space="0"/>
            </w:tcBorders>
          </w:tcPr>
          <w:p>
            <w:pPr>
              <w:pStyle w:val="10"/>
              <w:spacing w:line="520" w:lineRule="exact"/>
              <w:rPr>
                <w:rFonts w:ascii="仿宋_GB2312" w:hAnsi="仿宋_GB2312" w:eastAsia="仿宋_GB2312" w:cs="仿宋_GB2312"/>
                <w:sz w:val="24"/>
                <w:szCs w:val="24"/>
              </w:rPr>
            </w:pPr>
          </w:p>
        </w:tc>
        <w:tc>
          <w:tcPr>
            <w:tcW w:w="1041" w:type="dxa"/>
            <w:tcBorders>
              <w:bottom w:val="single" w:color="auto" w:sz="4" w:space="0"/>
            </w:tcBorders>
          </w:tcPr>
          <w:p>
            <w:pPr>
              <w:pStyle w:val="10"/>
              <w:spacing w:before="42"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1008" w:type="dxa"/>
            <w:tcBorders>
              <w:bottom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bottom w:val="single" w:color="auto" w:sz="4" w:space="0"/>
            </w:tcBorders>
          </w:tcPr>
          <w:p>
            <w:pPr>
              <w:pStyle w:val="10"/>
              <w:spacing w:before="42"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Borders>
              <w:bottom w:val="single" w:color="auto" w:sz="4" w:space="0"/>
            </w:tcBorders>
          </w:tcPr>
          <w:p>
            <w:pPr>
              <w:pStyle w:val="10"/>
              <w:spacing w:before="42"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Borders>
              <w:bottom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bottom w:val="single" w:color="auto" w:sz="4" w:space="0"/>
            </w:tcBorders>
          </w:tcPr>
          <w:p>
            <w:pPr>
              <w:pStyle w:val="10"/>
              <w:spacing w:line="520" w:lineRule="exact"/>
              <w:rPr>
                <w:rFonts w:ascii="仿宋_GB2312" w:hAnsi="仿宋_GB2312" w:eastAsia="仿宋_GB2312" w:cs="仿宋_GB2312"/>
                <w:sz w:val="24"/>
                <w:szCs w:val="24"/>
              </w:rPr>
            </w:pPr>
          </w:p>
        </w:tc>
        <w:tc>
          <w:tcPr>
            <w:tcW w:w="1744" w:type="dxa"/>
            <w:tcBorders>
              <w:bottom w:val="single" w:color="auto" w:sz="4" w:space="0"/>
              <w:right w:val="single" w:color="auto" w:sz="4" w:space="0"/>
            </w:tcBorders>
          </w:tcPr>
          <w:p>
            <w:pPr>
              <w:pStyle w:val="10"/>
              <w:spacing w:before="42"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1498" w:type="dxa"/>
            <w:tcBorders>
              <w:top w:val="single" w:color="auto" w:sz="4" w:space="0"/>
              <w:left w:val="single" w:color="auto" w:sz="4" w:space="0"/>
              <w:bottom w:val="single" w:color="auto" w:sz="4" w:space="0"/>
              <w:right w:val="single" w:color="auto" w:sz="4" w:space="0"/>
            </w:tcBorders>
          </w:tcPr>
          <w:p>
            <w:pPr>
              <w:pStyle w:val="10"/>
              <w:spacing w:before="31" w:line="520" w:lineRule="exact"/>
              <w:ind w:left="1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六</w:t>
            </w:r>
          </w:p>
        </w:tc>
        <w:tc>
          <w:tcPr>
            <w:tcW w:w="977" w:type="dxa"/>
            <w:tcBorders>
              <w:top w:val="single" w:color="auto" w:sz="4" w:space="0"/>
              <w:left w:val="single" w:color="auto" w:sz="4" w:space="0"/>
              <w:bottom w:val="single" w:color="auto" w:sz="4" w:space="0"/>
              <w:right w:val="single" w:color="auto" w:sz="4" w:space="0"/>
            </w:tcBorders>
          </w:tcPr>
          <w:p>
            <w:pPr>
              <w:pStyle w:val="10"/>
              <w:spacing w:line="520" w:lineRule="exact"/>
              <w:rPr>
                <w:rFonts w:ascii="仿宋_GB2312" w:hAnsi="仿宋_GB2312" w:eastAsia="仿宋_GB2312" w:cs="仿宋_GB2312"/>
                <w:sz w:val="24"/>
                <w:szCs w:val="24"/>
              </w:rPr>
            </w:pPr>
          </w:p>
        </w:tc>
        <w:tc>
          <w:tcPr>
            <w:tcW w:w="1041" w:type="dxa"/>
            <w:tcBorders>
              <w:top w:val="single" w:color="auto" w:sz="4" w:space="0"/>
              <w:left w:val="single" w:color="auto" w:sz="4" w:space="0"/>
              <w:bottom w:val="single" w:color="auto" w:sz="4" w:space="0"/>
              <w:right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top w:val="single" w:color="auto" w:sz="4" w:space="0"/>
              <w:left w:val="single" w:color="auto" w:sz="4" w:space="0"/>
              <w:bottom w:val="single" w:color="auto" w:sz="4" w:space="0"/>
              <w:right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top w:val="single" w:color="auto" w:sz="4" w:space="0"/>
              <w:left w:val="single" w:color="auto" w:sz="4" w:space="0"/>
              <w:bottom w:val="single" w:color="auto" w:sz="4" w:space="0"/>
              <w:right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top w:val="single" w:color="auto" w:sz="4" w:space="0"/>
              <w:left w:val="single" w:color="auto" w:sz="4" w:space="0"/>
              <w:bottom w:val="single" w:color="auto" w:sz="4" w:space="0"/>
              <w:right w:val="single" w:color="auto" w:sz="4" w:space="0"/>
            </w:tcBorders>
          </w:tcPr>
          <w:p>
            <w:pPr>
              <w:pStyle w:val="10"/>
              <w:spacing w:line="520" w:lineRule="exact"/>
              <w:rPr>
                <w:rFonts w:ascii="仿宋_GB2312" w:hAnsi="仿宋_GB2312" w:eastAsia="仿宋_GB2312" w:cs="仿宋_GB2312"/>
                <w:sz w:val="24"/>
                <w:szCs w:val="24"/>
              </w:rPr>
            </w:pPr>
          </w:p>
        </w:tc>
        <w:tc>
          <w:tcPr>
            <w:tcW w:w="1008" w:type="dxa"/>
            <w:tcBorders>
              <w:top w:val="single" w:color="auto" w:sz="4" w:space="0"/>
              <w:left w:val="single" w:color="auto" w:sz="4" w:space="0"/>
              <w:bottom w:val="single" w:color="auto" w:sz="4" w:space="0"/>
              <w:right w:val="single" w:color="auto" w:sz="4" w:space="0"/>
            </w:tcBorders>
          </w:tcPr>
          <w:p>
            <w:pPr>
              <w:pStyle w:val="10"/>
              <w:spacing w:before="31" w:line="520" w:lineRule="exact"/>
              <w:ind w:left="364" w:right="35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08" w:type="dxa"/>
            <w:tcBorders>
              <w:top w:val="single" w:color="auto" w:sz="4" w:space="0"/>
              <w:left w:val="single" w:color="auto" w:sz="4" w:space="0"/>
              <w:bottom w:val="single" w:color="auto" w:sz="4" w:space="0"/>
              <w:right w:val="single" w:color="auto" w:sz="4" w:space="0"/>
            </w:tcBorders>
          </w:tcPr>
          <w:p>
            <w:pPr>
              <w:pStyle w:val="10"/>
              <w:spacing w:before="31" w:line="520" w:lineRule="exact"/>
              <w:ind w:left="444"/>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4" w:type="dxa"/>
            <w:tcBorders>
              <w:top w:val="single" w:color="auto" w:sz="4" w:space="0"/>
              <w:left w:val="single" w:color="auto" w:sz="4" w:space="0"/>
              <w:bottom w:val="single" w:color="auto" w:sz="4" w:space="0"/>
              <w:right w:val="single" w:color="auto" w:sz="4" w:space="0"/>
            </w:tcBorders>
          </w:tcPr>
          <w:p>
            <w:pPr>
              <w:pStyle w:val="10"/>
              <w:spacing w:before="31"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9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489" w:right="479"/>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总计</w:t>
            </w:r>
          </w:p>
        </w:tc>
        <w:tc>
          <w:tcPr>
            <w:tcW w:w="977" w:type="dxa"/>
            <w:tcBorders>
              <w:top w:val="single" w:color="auto" w:sz="4" w:space="0"/>
              <w:left w:val="single" w:color="auto" w:sz="4" w:space="0"/>
              <w:bottom w:val="single" w:color="auto" w:sz="4" w:space="0"/>
              <w:right w:val="single" w:color="auto" w:sz="4" w:space="0"/>
            </w:tcBorders>
          </w:tcPr>
          <w:p>
            <w:pPr>
              <w:pStyle w:val="10"/>
              <w:spacing w:before="70" w:line="520" w:lineRule="exact"/>
              <w:ind w:right="417"/>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41" w:type="dxa"/>
            <w:tcBorders>
              <w:top w:val="single" w:color="auto" w:sz="4" w:space="0"/>
              <w:left w:val="single" w:color="auto" w:sz="4" w:space="0"/>
              <w:bottom w:val="single" w:color="auto" w:sz="4" w:space="0"/>
              <w:right w:val="single" w:color="auto" w:sz="4" w:space="0"/>
            </w:tcBorders>
          </w:tcPr>
          <w:p>
            <w:pPr>
              <w:pStyle w:val="10"/>
              <w:spacing w:before="70" w:line="520" w:lineRule="exact"/>
              <w:ind w:right="388"/>
              <w:jc w:val="right"/>
              <w:rPr>
                <w:rFonts w:ascii="仿宋_GB2312" w:hAnsi="仿宋_GB2312" w:eastAsia="仿宋_GB2312" w:cs="仿宋_GB2312"/>
                <w:sz w:val="24"/>
                <w:szCs w:val="24"/>
              </w:rPr>
            </w:pPr>
            <w:r>
              <w:rPr>
                <w:rFonts w:hint="eastAsia" w:ascii="仿宋_GB2312" w:hAnsi="仿宋_GB2312" w:eastAsia="仿宋_GB2312" w:cs="仿宋_GB2312"/>
                <w:sz w:val="24"/>
                <w:szCs w:val="24"/>
              </w:rPr>
              <w:t>90</w:t>
            </w:r>
          </w:p>
        </w:tc>
        <w:tc>
          <w:tcPr>
            <w:tcW w:w="100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00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00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11"/>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00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364" w:right="353"/>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008"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444"/>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44" w:type="dxa"/>
            <w:tcBorders>
              <w:top w:val="single" w:color="auto" w:sz="4" w:space="0"/>
              <w:left w:val="single" w:color="auto" w:sz="4" w:space="0"/>
              <w:bottom w:val="single" w:color="auto" w:sz="4" w:space="0"/>
              <w:right w:val="single" w:color="auto" w:sz="4" w:space="0"/>
            </w:tcBorders>
          </w:tcPr>
          <w:p>
            <w:pPr>
              <w:pStyle w:val="10"/>
              <w:spacing w:before="70" w:line="520" w:lineRule="exact"/>
              <w:ind w:left="629" w:right="62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124</w:t>
            </w:r>
          </w:p>
        </w:tc>
      </w:tr>
    </w:tbl>
    <w:p>
      <w:pPr>
        <w:pStyle w:val="2"/>
        <w:spacing w:before="145" w:line="700" w:lineRule="exact"/>
        <w:ind w:left="0" w:firstLine="301" w:firstLineChars="1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（二）教学进程安排表</w:t>
      </w:r>
    </w:p>
    <w:tbl>
      <w:tblPr>
        <w:tblStyle w:val="8"/>
        <w:tblpPr w:leftFromText="180" w:rightFromText="180" w:vertAnchor="text" w:horzAnchor="page" w:tblpXSpec="center" w:tblpY="273"/>
        <w:tblOverlap w:val="never"/>
        <w:tblW w:w="10277" w:type="dxa"/>
        <w:jc w:val="center"/>
        <w:tblLayout w:type="fixed"/>
        <w:tblCellMar>
          <w:top w:w="0" w:type="dxa"/>
          <w:left w:w="108" w:type="dxa"/>
          <w:bottom w:w="0" w:type="dxa"/>
          <w:right w:w="108" w:type="dxa"/>
        </w:tblCellMar>
      </w:tblPr>
      <w:tblGrid>
        <w:gridCol w:w="566"/>
        <w:gridCol w:w="485"/>
        <w:gridCol w:w="2428"/>
        <w:gridCol w:w="808"/>
        <w:gridCol w:w="809"/>
        <w:gridCol w:w="810"/>
        <w:gridCol w:w="728"/>
        <w:gridCol w:w="728"/>
        <w:gridCol w:w="728"/>
        <w:gridCol w:w="728"/>
        <w:gridCol w:w="728"/>
        <w:gridCol w:w="731"/>
      </w:tblGrid>
      <w:tr>
        <w:tblPrEx>
          <w:tblCellMar>
            <w:top w:w="0" w:type="dxa"/>
            <w:left w:w="108" w:type="dxa"/>
            <w:bottom w:w="0" w:type="dxa"/>
            <w:right w:w="108" w:type="dxa"/>
          </w:tblCellMar>
        </w:tblPrEx>
        <w:trPr>
          <w:trHeight w:val="792" w:hRule="atLeast"/>
          <w:jc w:val="center"/>
        </w:trPr>
        <w:tc>
          <w:tcPr>
            <w:tcW w:w="5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序号</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课程类别</w:t>
            </w:r>
          </w:p>
        </w:tc>
        <w:tc>
          <w:tcPr>
            <w:tcW w:w="242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课程名称</w:t>
            </w:r>
          </w:p>
        </w:tc>
        <w:tc>
          <w:tcPr>
            <w:tcW w:w="242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学时</w:t>
            </w:r>
          </w:p>
        </w:tc>
        <w:tc>
          <w:tcPr>
            <w:tcW w:w="437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学期周课时教学安排</w:t>
            </w:r>
          </w:p>
        </w:tc>
      </w:tr>
      <w:tr>
        <w:tblPrEx>
          <w:tblCellMar>
            <w:top w:w="0" w:type="dxa"/>
            <w:left w:w="108" w:type="dxa"/>
            <w:bottom w:w="0" w:type="dxa"/>
            <w:right w:w="108" w:type="dxa"/>
          </w:tblCellMar>
        </w:tblPrEx>
        <w:trPr>
          <w:trHeight w:val="988" w:hRule="atLeast"/>
          <w:jc w:val="cent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sz w:val="28"/>
                <w:szCs w:val="28"/>
              </w:rPr>
            </w:pP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sz w:val="28"/>
                <w:szCs w:val="28"/>
              </w:rPr>
            </w:pPr>
          </w:p>
        </w:tc>
        <w:tc>
          <w:tcPr>
            <w:tcW w:w="242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hAnsi="仿宋_GB2312" w:eastAsia="仿宋_GB2312" w:cs="仿宋_GB2312"/>
                <w:color w:val="000000"/>
                <w:sz w:val="28"/>
                <w:szCs w:val="28"/>
              </w:rPr>
            </w:pPr>
          </w:p>
        </w:tc>
        <w:tc>
          <w:tcPr>
            <w:tcW w:w="808"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总学时</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理论学时</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40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实践学时</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w:t>
            </w:r>
          </w:p>
        </w:tc>
        <w:tc>
          <w:tcPr>
            <w:tcW w:w="731"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48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公共基础课</w:t>
            </w: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职业生涯规划</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职业道德与法律</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经济政治与社会</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哲学与人生</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语文</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数学</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英语</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信息技术</w:t>
            </w:r>
          </w:p>
        </w:tc>
        <w:tc>
          <w:tcPr>
            <w:tcW w:w="80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w:t>
            </w:r>
          </w:p>
        </w:tc>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体育与健康</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4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公共艺术</w:t>
            </w:r>
          </w:p>
        </w:tc>
        <w:tc>
          <w:tcPr>
            <w:tcW w:w="80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810"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single" w:color="auto" w:sz="4" w:space="0"/>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11</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历史</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12</w:t>
            </w:r>
          </w:p>
        </w:tc>
        <w:tc>
          <w:tcPr>
            <w:tcW w:w="48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专业课程</w:t>
            </w: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机械制图</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机械基础</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UG数控编程</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MASTERCAM数控编程</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16</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机械CAD</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机械检测仪器</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144</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72</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8</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机械设备控制技术</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金属加工基础</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21</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综合实训</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566" w:type="dxa"/>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22</w:t>
            </w:r>
          </w:p>
        </w:tc>
        <w:tc>
          <w:tcPr>
            <w:tcW w:w="485" w:type="dxa"/>
            <w:vMerge w:val="continue"/>
            <w:tcBorders>
              <w:top w:val="nil"/>
              <w:left w:val="single" w:color="auto" w:sz="4" w:space="0"/>
              <w:bottom w:val="single" w:color="auto" w:sz="4" w:space="0"/>
              <w:right w:val="single" w:color="auto" w:sz="4" w:space="0"/>
            </w:tcBorders>
            <w:vAlign w:val="center"/>
          </w:tcPr>
          <w:p>
            <w:pPr>
              <w:widowControl/>
              <w:spacing w:line="600" w:lineRule="exact"/>
              <w:jc w:val="center"/>
              <w:rPr>
                <w:rFonts w:ascii="仿宋_GB2312" w:hAnsi="仿宋_GB2312" w:eastAsia="仿宋_GB2312" w:cs="仿宋_GB2312"/>
                <w:color w:val="000000"/>
                <w:sz w:val="24"/>
                <w:szCs w:val="24"/>
              </w:rPr>
            </w:pPr>
          </w:p>
        </w:tc>
        <w:tc>
          <w:tcPr>
            <w:tcW w:w="24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顶岗实习</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540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r>
      <w:tr>
        <w:tblPrEx>
          <w:tblCellMar>
            <w:top w:w="0" w:type="dxa"/>
            <w:left w:w="108" w:type="dxa"/>
            <w:bottom w:w="0" w:type="dxa"/>
            <w:right w:w="108" w:type="dxa"/>
          </w:tblCellMar>
        </w:tblPrEx>
        <w:trPr>
          <w:trHeight w:val="563" w:hRule="atLeast"/>
          <w:jc w:val="center"/>
        </w:trPr>
        <w:tc>
          <w:tcPr>
            <w:tcW w:w="347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军训及入学教育</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63" w:hRule="atLeast"/>
          <w:jc w:val="center"/>
        </w:trPr>
        <w:tc>
          <w:tcPr>
            <w:tcW w:w="3479" w:type="dxa"/>
            <w:gridSpan w:val="3"/>
            <w:tcBorders>
              <w:top w:val="nil"/>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劳动实践教育</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p>
        </w:tc>
      </w:tr>
      <w:tr>
        <w:tblPrEx>
          <w:tblCellMar>
            <w:top w:w="0" w:type="dxa"/>
            <w:left w:w="108" w:type="dxa"/>
            <w:bottom w:w="0" w:type="dxa"/>
            <w:right w:w="108" w:type="dxa"/>
          </w:tblCellMar>
        </w:tblPrEx>
        <w:trPr>
          <w:trHeight w:val="575" w:hRule="atLeast"/>
          <w:jc w:val="center"/>
        </w:trPr>
        <w:tc>
          <w:tcPr>
            <w:tcW w:w="347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合计</w:t>
            </w:r>
          </w:p>
        </w:tc>
        <w:tc>
          <w:tcPr>
            <w:tcW w:w="80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3330</w:t>
            </w:r>
          </w:p>
        </w:tc>
        <w:tc>
          <w:tcPr>
            <w:tcW w:w="809"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1334</w:t>
            </w:r>
          </w:p>
        </w:tc>
        <w:tc>
          <w:tcPr>
            <w:tcW w:w="810"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1996</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28"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c>
          <w:tcPr>
            <w:tcW w:w="731" w:type="dxa"/>
            <w:tcBorders>
              <w:top w:val="nil"/>
              <w:left w:val="nil"/>
              <w:bottom w:val="single" w:color="auto" w:sz="4" w:space="0"/>
              <w:right w:val="single" w:color="auto" w:sz="4" w:space="0"/>
            </w:tcBorders>
            <w:shd w:val="clear" w:color="auto" w:fill="auto"/>
            <w:noWrap/>
            <w:vAlign w:val="center"/>
          </w:tcPr>
          <w:p>
            <w:pPr>
              <w:widowControl/>
              <w:spacing w:line="600" w:lineRule="exact"/>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w:t>
            </w:r>
          </w:p>
        </w:tc>
      </w:tr>
    </w:tbl>
    <w:p>
      <w:pPr>
        <w:pStyle w:val="2"/>
        <w:spacing w:before="55" w:line="520" w:lineRule="exact"/>
        <w:ind w:firstLine="900" w:firstLineChars="300"/>
        <w:rPr>
          <w:rFonts w:ascii="仿宋_GB2312" w:hAnsi="仿宋_GB2312" w:eastAsia="仿宋_GB2312" w:cs="仿宋_GB2312"/>
          <w:sz w:val="30"/>
          <w:szCs w:val="30"/>
        </w:rPr>
      </w:pPr>
      <w:r>
        <w:rPr>
          <w:rFonts w:hint="eastAsia" w:ascii="仿宋_GB2312" w:hAnsi="仿宋_GB2312" w:eastAsia="仿宋_GB2312" w:cs="仿宋_GB2312"/>
          <w:sz w:val="30"/>
          <w:szCs w:val="30"/>
        </w:rPr>
        <w:t>备注说明：</w:t>
      </w:r>
    </w:p>
    <w:p>
      <w:pPr>
        <w:pStyle w:val="2"/>
        <w:spacing w:before="55" w:line="520" w:lineRule="exact"/>
        <w:ind w:firstLine="740" w:firstLineChars="200"/>
      </w:pPr>
      <w:r>
        <w:rPr>
          <w:rFonts w:hint="eastAsia" w:ascii="仿宋_GB2312" w:hAnsi="仿宋_GB2312" w:eastAsia="仿宋_GB2312" w:cs="仿宋_GB2312"/>
          <w:color w:val="221F1F"/>
          <w:spacing w:val="35"/>
          <w:sz w:val="30"/>
          <w:szCs w:val="30"/>
        </w:rPr>
        <w:t>三年总学时为3330，其中公共基础课程学时为1044，占总学时的31.4%；专业（技能）课程学时为2196，占总学时的65.9%</w:t>
      </w:r>
      <w:r>
        <w:rPr>
          <w:rFonts w:hint="eastAsia" w:ascii="仿宋_GB2312" w:hAnsi="仿宋_GB2312" w:eastAsia="仿宋_GB2312" w:cs="仿宋_GB2312"/>
          <w:spacing w:val="-17"/>
          <w:w w:val="95"/>
          <w:sz w:val="30"/>
          <w:szCs w:val="30"/>
        </w:rPr>
        <w:t>。</w:t>
      </w:r>
    </w:p>
    <w:p>
      <w:pPr>
        <w:rPr>
          <w:rFonts w:ascii="仿宋_GB2312" w:hAnsi="仿宋_GB2312" w:eastAsia="仿宋_GB2312" w:cs="仿宋_GB2312"/>
          <w:sz w:val="21"/>
          <w:szCs w:val="21"/>
        </w:rPr>
        <w:sectPr>
          <w:footerReference r:id="rId6" w:type="default"/>
          <w:pgSz w:w="11910" w:h="16840"/>
          <w:pgMar w:top="1440" w:right="1803" w:bottom="1440" w:left="1803" w:header="0" w:footer="993" w:gutter="0"/>
          <w:cols w:space="720" w:num="1"/>
        </w:sectPr>
      </w:pPr>
    </w:p>
    <w:p>
      <w:pPr>
        <w:pStyle w:val="2"/>
        <w:spacing w:before="190" w:line="520" w:lineRule="exact"/>
        <w:ind w:left="0" w:right="615"/>
        <w:outlineLvl w:val="0"/>
        <w:rPr>
          <w:rFonts w:ascii="黑体" w:hAnsi="黑体" w:eastAsia="黑体" w:cs="黑体"/>
          <w:sz w:val="30"/>
          <w:szCs w:val="30"/>
        </w:rPr>
      </w:pPr>
      <w:bookmarkStart w:id="14" w:name="_Toc7907"/>
      <w:r>
        <w:rPr>
          <w:rFonts w:hint="eastAsia" w:ascii="黑体" w:hAnsi="黑体" w:eastAsia="黑体" w:cs="黑体"/>
          <w:sz w:val="30"/>
          <w:szCs w:val="30"/>
        </w:rPr>
        <w:t>八、实施保障</w:t>
      </w:r>
      <w:bookmarkEnd w:id="14"/>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（一）师资队伍</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该专业的师资建设以培养和引进在数控应用方面有较高技能双师型教师为主。今后完善师资队伍的形式主要有三种：</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1．引进人才，优点是教学稳定，较快达到教学要求。</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2．注重教师企业实践和专业及业务培训，教师要不断提高专业技能以及教学水平。保障教学内容最大程度地适应本行业的发展需求。</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3．建立稳定的、高水平的兼职教师队伍，使教学与社会同步，学生能了解生产一线新鲜知识，同时学校教师也能通过交流得到提高。</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（二）教学设施</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我校数控技术应用专业具备较完善的教学及实训设施，基本能够满足针对3年制中职学生的专业教学任务。在原有基础上，通过与洛阳创贵实业有限公司开展校企合作，计划总投资5000万元，购买进口CNC加工中心38台，数控车床55台，以及各类高端检测设备。建成后每年能为学校增加200人的工学结合岗位。</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（三）教学资源</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1.选用规划教材、统编教材等高质量教材，或者选用有针对性的自编教材。</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2.初步建立核心课程资源库，进而建立全课程资源库，并不断优化完善。</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3.丰富图书馆专业工具书及专业藏书量（达到3000册），增加专业电子图书（1000册）。</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（四）教学方法</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1.体现“课程思政”，实现思想政治教育与技术技能培养有机统一。</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2.普及项目教学、情境教学、模块化教学等教学方式，将碎片化的知识和技能有机组合在一起，完成课程教学任务。</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3.运用启发式、探究式、讨论式、参与式等教学方法，激发学生学习的兴趣，提高教学效果。</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4.尝试现代学徒制，借鉴或摸索经验，并推广应用。</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（五）学习评价</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评价主体、评价方式、评价过程多元化，注意吸收行业企业参与。</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1.评价主体多元化：教师评价、学生评价、自我评价相结合。</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2.评价方式多元化：校内与校外评价相结合；职业技能等级考试与学业考核相结合；开卷闭卷相结合；口试、笔试、面试相结合；知识测试和技能考核相结合等。</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3.评价过程的多元化：过程性评价与结果性评价相结合。</w:t>
      </w:r>
    </w:p>
    <w:p>
      <w:pPr>
        <w:pStyle w:val="2"/>
        <w:spacing w:line="520" w:lineRule="exact"/>
        <w:ind w:left="0" w:firstLine="602" w:firstLineChars="200"/>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（六）质量管理</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1.以适应社会人才需求为导向,遵循教学规律,立足专业实情,制定合理的教学质量标准,建立完善科学可行的教学目标。</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2.建立能满足教学需要的实训实习场所，为本专业教师进步，学生成才奠定基本的实训条件，也为教学目标的实现、人才质量的规格提供基本保障。</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3.教学部主任是本部门第一责任人,其职能是负责对教师的管理与指导,开展内部的各项教学检查。</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4.建立健全教学监督评价机制，并对教学过程中出现的问题和教学评价结果进行进一步分析,并准确、全面、快速地进行反馈。</w:t>
      </w:r>
    </w:p>
    <w:p>
      <w:pPr>
        <w:pStyle w:val="2"/>
        <w:spacing w:line="520" w:lineRule="exact"/>
        <w:ind w:left="0"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5.建立有效的教学激励机制,充分调动学生、教师的教学积极性和主动性,促进教学目标的达成。</w:t>
      </w:r>
    </w:p>
    <w:p>
      <w:pPr>
        <w:pStyle w:val="2"/>
        <w:spacing w:line="520" w:lineRule="exact"/>
        <w:ind w:left="0"/>
        <w:outlineLvl w:val="0"/>
        <w:rPr>
          <w:rFonts w:ascii="黑体" w:hAnsi="黑体" w:eastAsia="黑体" w:cs="黑体"/>
          <w:sz w:val="30"/>
          <w:szCs w:val="30"/>
        </w:rPr>
      </w:pPr>
      <w:bookmarkStart w:id="15" w:name="_Toc7339"/>
      <w:r>
        <w:rPr>
          <w:rFonts w:hint="eastAsia" w:ascii="黑体" w:hAnsi="黑体" w:eastAsia="黑体" w:cs="黑体"/>
          <w:sz w:val="30"/>
          <w:szCs w:val="30"/>
        </w:rPr>
        <w:t>九、毕业要求</w:t>
      </w:r>
      <w:bookmarkEnd w:id="15"/>
    </w:p>
    <w:p>
      <w:pPr>
        <w:pStyle w:val="2"/>
        <w:spacing w:line="520" w:lineRule="exact"/>
        <w:ind w:left="0" w:firstLine="600" w:firstLineChars="200"/>
        <w:rPr>
          <w:rFonts w:ascii="仿宋_GB2312" w:hAnsi="仿宋_GB2312" w:eastAsia="仿宋_GB2312" w:cs="仿宋_GB2312"/>
          <w:sz w:val="30"/>
          <w:szCs w:val="30"/>
        </w:rPr>
        <w:sectPr>
          <w:footerReference r:id="rId7" w:type="default"/>
          <w:pgSz w:w="11910" w:h="16840"/>
          <w:pgMar w:top="1440" w:right="1803" w:bottom="1440" w:left="1803" w:header="0" w:footer="993" w:gutter="0"/>
          <w:cols w:space="720" w:num="1"/>
        </w:sectPr>
      </w:pPr>
      <w:r>
        <w:rPr>
          <w:rFonts w:hint="eastAsia" w:ascii="仿宋_GB2312" w:hAnsi="仿宋_GB2312" w:eastAsia="仿宋_GB2312" w:cs="仿宋_GB2312"/>
          <w:sz w:val="30"/>
          <w:szCs w:val="30"/>
        </w:rPr>
        <w:t>学生通过规定年限的学习，修满数控技术应用专业人才培养方案所规定的学时，完成规定的教学活动，达到数控技术应用专业人才培养方案所规定的素质、知识和能力等方面要求，并取得本专业规定的职业资格证书或技能等级证书</w:t>
      </w:r>
      <w:bookmarkStart w:id="16" w:name="九、毕业要求"/>
      <w:bookmarkEnd w:id="16"/>
      <w:bookmarkStart w:id="17" w:name="(3)一般"/>
      <w:bookmarkEnd w:id="17"/>
    </w:p>
    <w:p>
      <w:pPr>
        <w:pStyle w:val="2"/>
        <w:ind w:left="0"/>
        <w:rPr>
          <w:rFonts w:ascii="仿宋_GB2312" w:hAnsi="仿宋_GB2312" w:eastAsia="仿宋_GB2312" w:cs="仿宋_GB2312"/>
          <w:sz w:val="30"/>
          <w:szCs w:val="30"/>
        </w:rPr>
      </w:pPr>
      <w:bookmarkStart w:id="18" w:name="3.实训实习"/>
      <w:bookmarkEnd w:id="18"/>
    </w:p>
    <w:sectPr>
      <w:footerReference r:id="rId8" w:type="default"/>
      <w:pgSz w:w="11910" w:h="16840"/>
      <w:pgMar w:top="1240" w:right="520" w:bottom="1180" w:left="720" w:header="0" w:footer="993"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C982D-A794-4ACF-8A25-E41BDE398CC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embedRegular r:id="rId2" w:fontKey="{DC6F96A2-7EFE-43FA-B272-144517C00AE2}"/>
  </w:font>
  <w:font w:name="仿宋_GB2312">
    <w:panose1 w:val="02010609030101010101"/>
    <w:charset w:val="86"/>
    <w:family w:val="auto"/>
    <w:pitch w:val="default"/>
    <w:sig w:usb0="00000001" w:usb1="080E0000" w:usb2="00000000" w:usb3="00000000" w:csb0="00040000" w:csb1="00000000"/>
    <w:embedRegular r:id="rId3" w:fontKey="{8B6C5967-FE3B-47BF-BDDF-420EB8AEFAC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_x0000_s2054" o:spid="_x0000_s2054" o:spt="202" type="#_x0000_t202" style="position:absolute;left:0pt;margin-left:292.4pt;margin-top:781.2pt;height:12pt;width:11.35pt;mso-position-horizontal-relative:page;mso-position-vertical-relative:page;z-index:-251653120;mso-width-relative:page;mso-height-relative:page;" filled="f" stroked="f" coordsize="21600,21600" o:gfxdata="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41cdsAAAANAQAADwAAAAAAAAABACAAAAAiAAAAZHJzL2Rvd25yZXYueG1sUEsB&#10;AhQAFAAAAAgAh07iQBts31i5AQAAcQMAAA4AAAAAAAAAAQAgAAAAKgEAAGRycy9lMm9Eb2MueG1s&#10;UEsFBgAAAAAGAAYAWQEAAFUFAAAAAA==&#10;">
          <v:path/>
          <v:fill on="f" focussize="0,0"/>
          <v:stroke on="f" joinstyle="miter"/>
          <v:imagedata o:title=""/>
          <o:lock v:ext="edit"/>
          <v:textbox inset="0mm,0mm,0mm,0mm">
            <w:txbxContent>
              <w:p>
                <w:pPr>
                  <w:spacing w:before="12"/>
                  <w:rPr>
                    <w:rFonts w:ascii="Times New Roman"/>
                    <w:sz w:val="18"/>
                  </w:rPr>
                </w:pPr>
              </w:p>
            </w:txbxContent>
          </v:textbox>
        </v:shape>
      </w:pict>
    </w:r>
    <w:r>
      <w:rPr>
        <w:rFonts w:hint="eastAsia"/>
        <w:sz w:val="1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pict>
        <v:shape id="_x0000_s2053" o:spid="_x0000_s2053"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w:r>
    <w:r>
      <w:pict>
        <v:shape id="_x0000_s2052" o:spid="_x0000_s2052" o:spt="202" type="#_x0000_t202" style="position:absolute;left:0pt;margin-left:292.4pt;margin-top:781.2pt;height:12pt;width:11.35pt;mso-position-horizontal-relative:page;mso-position-vertical-relative:page;z-index:-251652096;mso-width-relative:page;mso-height-relative:page;" filled="f" stroked="f" coordsize="21600,21600" o:gfxdata="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3+NXHbAAAADQEAAA8AAAAAAAAAAQAgAAAAIgAAAGRycy9kb3ducmV2LnhtbFBL&#10;AQIUABQAAAAIAIdO4kBCJVkvugEAAHMDAAAOAAAAAAAAAAEAIAAAACoBAABkcnMvZTJvRG9jLnht&#10;bFBLBQYAAAAABgAGAFkBAABWBQAAAAA=&#10;">
          <v:path/>
          <v:fill on="f" focussize="0,0"/>
          <v:stroke on="f" joinstyle="miter"/>
          <v:imagedata o:title=""/>
          <o:lock v:ext="edit"/>
          <v:textbox inset="0mm,0mm,0mm,0mm">
            <w:txbxContent>
              <w:p>
                <w:pPr>
                  <w:spacing w:before="12"/>
                  <w:rPr>
                    <w:rFonts w:ascii="Times New Roman"/>
                    <w:sz w:val="18"/>
                  </w:rPr>
                </w:pPr>
              </w:p>
            </w:txbxContent>
          </v:textbox>
        </v:shape>
      </w:pict>
    </w:r>
    <w:r>
      <w:rPr>
        <w:rFonts w:hint="eastAsia"/>
        <w:sz w:val="1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sz w:val="12"/>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6</w:t>
                </w:r>
                <w:r>
                  <w:fldChar w:fldCharType="end"/>
                </w:r>
              </w:p>
            </w:txbxContent>
          </v:textbox>
        </v:shape>
      </w:pict>
    </w:r>
    <w:r>
      <w:rPr>
        <w:rFonts w:hint="eastAsia"/>
        <w:sz w:val="1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2050" o:spid="_x0000_s2050"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w:rPr>
        <w:sz w:val="20"/>
      </w:rPr>
      <w:pict>
        <v:shape id="_x0000_s2049" o:spid="_x0000_s204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75C4A6"/>
    <w:multiLevelType w:val="singleLevel"/>
    <w:tmpl w:val="CC75C4A6"/>
    <w:lvl w:ilvl="0" w:tentative="0">
      <w:start w:val="2"/>
      <w:numFmt w:val="chineseCounting"/>
      <w:suff w:val="nothing"/>
      <w:lvlText w:val="（%1）"/>
      <w:lvlJc w:val="left"/>
      <w:rPr>
        <w:rFonts w:hint="eastAsia"/>
      </w:rPr>
    </w:lvl>
  </w:abstractNum>
  <w:abstractNum w:abstractNumId="1">
    <w:nsid w:val="239EE8F5"/>
    <w:multiLevelType w:val="singleLevel"/>
    <w:tmpl w:val="239EE8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g4ODgzZDA4Y2I1Mzg0ODMyNjBkYjY1YjM3ODBmYzYifQ=="/>
  </w:docVars>
  <w:rsids>
    <w:rsidRoot w:val="00AD5C58"/>
    <w:rsid w:val="0005699C"/>
    <w:rsid w:val="00236B7D"/>
    <w:rsid w:val="008A39C6"/>
    <w:rsid w:val="00964353"/>
    <w:rsid w:val="00AD5C58"/>
    <w:rsid w:val="00C761D0"/>
    <w:rsid w:val="00D57E90"/>
    <w:rsid w:val="00D73B92"/>
    <w:rsid w:val="00EA7BD0"/>
    <w:rsid w:val="05F661AD"/>
    <w:rsid w:val="08150A95"/>
    <w:rsid w:val="09E56383"/>
    <w:rsid w:val="0AAD4975"/>
    <w:rsid w:val="0C902E05"/>
    <w:rsid w:val="0FFC23B3"/>
    <w:rsid w:val="12080872"/>
    <w:rsid w:val="14BA332C"/>
    <w:rsid w:val="151B5DDA"/>
    <w:rsid w:val="1725366B"/>
    <w:rsid w:val="179B1655"/>
    <w:rsid w:val="184A370B"/>
    <w:rsid w:val="19C76D5E"/>
    <w:rsid w:val="1AA866DD"/>
    <w:rsid w:val="1F8F0710"/>
    <w:rsid w:val="202D1F72"/>
    <w:rsid w:val="206E5798"/>
    <w:rsid w:val="25357F57"/>
    <w:rsid w:val="2679347C"/>
    <w:rsid w:val="26B0112B"/>
    <w:rsid w:val="26D17D7C"/>
    <w:rsid w:val="27694884"/>
    <w:rsid w:val="292825CE"/>
    <w:rsid w:val="2E490505"/>
    <w:rsid w:val="2E894218"/>
    <w:rsid w:val="30D140CD"/>
    <w:rsid w:val="315043F2"/>
    <w:rsid w:val="32624BE9"/>
    <w:rsid w:val="335307C3"/>
    <w:rsid w:val="33D75D44"/>
    <w:rsid w:val="37DA1918"/>
    <w:rsid w:val="383E7D8C"/>
    <w:rsid w:val="386B5428"/>
    <w:rsid w:val="390612A6"/>
    <w:rsid w:val="39173DB4"/>
    <w:rsid w:val="395C78A2"/>
    <w:rsid w:val="3AE91927"/>
    <w:rsid w:val="3B2215C3"/>
    <w:rsid w:val="3B512A58"/>
    <w:rsid w:val="3DFF671E"/>
    <w:rsid w:val="3E5C30B4"/>
    <w:rsid w:val="3F61203C"/>
    <w:rsid w:val="402A065E"/>
    <w:rsid w:val="404503CD"/>
    <w:rsid w:val="44BC0429"/>
    <w:rsid w:val="45034887"/>
    <w:rsid w:val="458545DD"/>
    <w:rsid w:val="47B3787F"/>
    <w:rsid w:val="4AC65C9C"/>
    <w:rsid w:val="4B674C7E"/>
    <w:rsid w:val="4B9F5B04"/>
    <w:rsid w:val="4D18618F"/>
    <w:rsid w:val="4DBC05CA"/>
    <w:rsid w:val="4FA51CFF"/>
    <w:rsid w:val="52475700"/>
    <w:rsid w:val="53B067D9"/>
    <w:rsid w:val="547272EC"/>
    <w:rsid w:val="57705993"/>
    <w:rsid w:val="58C11F6A"/>
    <w:rsid w:val="5A6500DC"/>
    <w:rsid w:val="5A6C741D"/>
    <w:rsid w:val="5DBB5104"/>
    <w:rsid w:val="5DF015D2"/>
    <w:rsid w:val="63DA04C9"/>
    <w:rsid w:val="654D20CA"/>
    <w:rsid w:val="67797897"/>
    <w:rsid w:val="679134BC"/>
    <w:rsid w:val="67920642"/>
    <w:rsid w:val="691E0457"/>
    <w:rsid w:val="6CAE08A7"/>
    <w:rsid w:val="70952FB7"/>
    <w:rsid w:val="71405D6D"/>
    <w:rsid w:val="726A7D53"/>
    <w:rsid w:val="731A3738"/>
    <w:rsid w:val="759026B9"/>
    <w:rsid w:val="77AC4C80"/>
    <w:rsid w:val="77D56C39"/>
    <w:rsid w:val="78565C01"/>
    <w:rsid w:val="7E070C3B"/>
    <w:rsid w:val="7FDC16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412"/>
    </w:pPr>
    <w:rPr>
      <w:sz w:val="32"/>
      <w:szCs w:val="32"/>
    </w:r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Autospacing="1" w:afterAutospacing="1"/>
    </w:pPr>
    <w:rPr>
      <w:rFonts w:cs="Times New Roman"/>
      <w:sz w:val="24"/>
    </w:rPr>
  </w:style>
  <w:style w:type="paragraph" w:styleId="7">
    <w:name w:val="Title"/>
    <w:basedOn w:val="1"/>
    <w:qFormat/>
    <w:uiPriority w:val="1"/>
    <w:pPr>
      <w:spacing w:before="32"/>
      <w:ind w:left="3672" w:right="3871"/>
      <w:jc w:val="center"/>
    </w:pPr>
    <w:rPr>
      <w:sz w:val="52"/>
      <w:szCs w:val="52"/>
    </w:rPr>
  </w:style>
  <w:style w:type="paragraph" w:customStyle="1" w:styleId="10">
    <w:name w:val="Table Paragraph"/>
    <w:basedOn w:val="1"/>
    <w:qFormat/>
    <w:uiPriority w:val="1"/>
  </w:style>
  <w:style w:type="paragraph" w:styleId="11">
    <w:name w:val="List Paragraph"/>
    <w:basedOn w:val="1"/>
    <w:qFormat/>
    <w:uiPriority w:val="1"/>
    <w:pPr>
      <w:ind w:left="1374" w:hanging="322"/>
    </w:pPr>
  </w:style>
  <w:style w:type="paragraph" w:customStyle="1" w:styleId="12">
    <w:name w:val="Table of contents|1"/>
    <w:basedOn w:val="1"/>
    <w:qFormat/>
    <w:uiPriority w:val="0"/>
    <w:pPr>
      <w:spacing w:after="300"/>
      <w:ind w:firstLine="580"/>
    </w:pPr>
    <w:rPr>
      <w:sz w:val="19"/>
      <w:szCs w:val="19"/>
      <w:lang w:val="zh-TW" w:eastAsia="zh-TW" w:bidi="zh-TW"/>
    </w:rPr>
  </w:style>
  <w:style w:type="character" w:customStyle="1" w:styleId="13">
    <w:name w:val="批注框文本 Char"/>
    <w:basedOn w:val="9"/>
    <w:link w:val="3"/>
    <w:uiPriority w:val="0"/>
    <w:rPr>
      <w:rFonts w:ascii="宋体" w:hAnsi="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5397</Words>
  <Characters>5773</Characters>
  <Lines>56</Lines>
  <Paragraphs>15</Paragraphs>
  <TotalTime>30</TotalTime>
  <ScaleCrop>false</ScaleCrop>
  <LinksUpToDate>false</LinksUpToDate>
  <CharactersWithSpaces>5864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2022-08-30T02:44:00Z</dcterms:created>
  <dc:creator>Administrator</dc:creator>
  <cp:lastModifiedBy>Administrator</cp:lastModifiedBy>
  <cp:lastPrinted>2022-09-18T07:26:00Z</cp:lastPrinted>
  <dcterms:modified xsi:type="dcterms:W3CDTF">2022-09-18T08:16:34Z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6ACD5C35907148A2812530CD6D964564</vt:lpwstr>
  </property>
</Properties>
</file>